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snapToGrid/>
        <w:spacing w:before="240" w:after="240" w:line="60" w:lineRule="atLeast"/>
        <w:ind w:leftChars="0"/>
        <w:jc w:val="center"/>
        <w:textAlignment w:val="auto"/>
        <w:rPr>
          <w:rFonts w:hint="eastAsia" w:ascii="宋体" w:hAnsi="宋体" w:eastAsia="宋体" w:cs="宋体"/>
          <w:b/>
          <w:bCs w:val="0"/>
          <w:color w:val="auto"/>
          <w:kern w:val="2"/>
          <w:sz w:val="72"/>
          <w:szCs w:val="24"/>
          <w:highlight w:val="none"/>
          <w:lang w:val="en-US" w:eastAsia="zh-CN" w:bidi="ar-SA"/>
        </w:rPr>
      </w:pPr>
    </w:p>
    <w:p>
      <w:pPr>
        <w:rPr>
          <w:rFonts w:hint="eastAsia"/>
          <w:color w:val="auto"/>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240" w:after="240" w:line="60" w:lineRule="atLeast"/>
        <w:ind w:leftChars="0"/>
        <w:jc w:val="center"/>
        <w:textAlignment w:val="auto"/>
        <w:rPr>
          <w:rFonts w:hint="eastAsia" w:ascii="宋体" w:hAnsi="宋体" w:eastAsia="宋体" w:cs="宋体"/>
          <w:b/>
          <w:bCs w:val="0"/>
          <w:color w:val="auto"/>
          <w:kern w:val="2"/>
          <w:sz w:val="72"/>
          <w:szCs w:val="24"/>
          <w:highlight w:val="none"/>
          <w:lang w:val="en-US" w:eastAsia="zh-CN" w:bidi="ar-SA"/>
        </w:rPr>
      </w:pPr>
      <w:r>
        <w:rPr>
          <w:rFonts w:hint="eastAsia" w:ascii="宋体" w:hAnsi="宋体" w:eastAsia="宋体" w:cs="宋体"/>
          <w:b/>
          <w:bCs w:val="0"/>
          <w:color w:val="auto"/>
          <w:kern w:val="2"/>
          <w:sz w:val="72"/>
          <w:szCs w:val="24"/>
          <w:highlight w:val="none"/>
          <w:lang w:val="en-US" w:eastAsia="zh-CN" w:bidi="ar-SA"/>
        </w:rPr>
        <w:t>惠州市职业病防治院</w:t>
      </w:r>
    </w:p>
    <w:p>
      <w:pPr>
        <w:tabs>
          <w:tab w:val="left" w:pos="640"/>
          <w:tab w:val="left" w:pos="6660"/>
        </w:tabs>
        <w:autoSpaceDE w:val="0"/>
        <w:autoSpaceDN w:val="0"/>
        <w:spacing w:line="360" w:lineRule="auto"/>
        <w:ind w:left="630" w:leftChars="300"/>
        <w:jc w:val="center"/>
        <w:rPr>
          <w:rFonts w:hint="eastAsia" w:ascii="宋体" w:hAnsi="宋体" w:eastAsia="宋体" w:cs="宋体"/>
          <w:b/>
          <w:color w:val="auto"/>
          <w:sz w:val="72"/>
          <w:highlight w:val="none"/>
          <w:lang w:val="zh-CN"/>
        </w:rPr>
      </w:pPr>
      <w:r>
        <w:rPr>
          <w:rFonts w:hint="eastAsia" w:ascii="宋体" w:hAnsi="宋体" w:eastAsia="宋体" w:cs="宋体"/>
          <w:b/>
          <w:color w:val="auto"/>
          <w:sz w:val="72"/>
          <w:highlight w:val="none"/>
          <w:lang w:val="zh-CN"/>
        </w:rPr>
        <w:t xml:space="preserve"> 院内比选文件</w:t>
      </w:r>
    </w:p>
    <w:p>
      <w:pPr>
        <w:spacing w:line="500" w:lineRule="exact"/>
        <w:jc w:val="center"/>
        <w:rPr>
          <w:rFonts w:hint="eastAsia" w:ascii="仿宋" w:hAnsi="仿宋" w:eastAsia="仿宋" w:cs="仿宋"/>
          <w:bCs/>
          <w:color w:val="auto"/>
          <w:sz w:val="28"/>
          <w:szCs w:val="28"/>
        </w:rPr>
      </w:pPr>
    </w:p>
    <w:p>
      <w:pPr>
        <w:spacing w:line="500" w:lineRule="exact"/>
        <w:jc w:val="center"/>
        <w:rPr>
          <w:rFonts w:hint="eastAsia" w:ascii="仿宋" w:hAnsi="仿宋" w:eastAsia="仿宋" w:cs="仿宋"/>
          <w:b/>
          <w:color w:val="auto"/>
          <w:sz w:val="28"/>
          <w:szCs w:val="28"/>
        </w:rPr>
      </w:pPr>
    </w:p>
    <w:p>
      <w:pPr>
        <w:pageBreakBefore w:val="0"/>
        <w:widowControl w:val="0"/>
        <w:kinsoku/>
        <w:wordWrap/>
        <w:overflowPunct/>
        <w:topLinePunct w:val="0"/>
        <w:autoSpaceDE w:val="0"/>
        <w:autoSpaceDN w:val="0"/>
        <w:bidi w:val="0"/>
        <w:adjustRightInd/>
        <w:snapToGrid/>
        <w:spacing w:line="340" w:lineRule="exact"/>
        <w:ind w:right="1634" w:rightChars="778" w:firstLine="2570" w:firstLineChars="800"/>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jc w:val="left"/>
        <w:textAlignment w:val="auto"/>
        <w:rPr>
          <w:rFonts w:hint="eastAsia" w:ascii="仿宋" w:hAnsi="仿宋" w:eastAsia="仿宋" w:cs="仿宋"/>
          <w:b/>
          <w:bCs w:val="0"/>
          <w:color w:val="auto"/>
          <w:kern w:val="44"/>
          <w:sz w:val="32"/>
          <w:szCs w:val="32"/>
          <w:lang w:val="zh-CN" w:eastAsia="zh-CN" w:bidi="ar-SA"/>
        </w:rPr>
      </w:pPr>
    </w:p>
    <w:p>
      <w:pPr>
        <w:pageBreakBefore w:val="0"/>
        <w:widowControl w:val="0"/>
        <w:kinsoku/>
        <w:wordWrap/>
        <w:overflowPunct/>
        <w:topLinePunct w:val="0"/>
        <w:autoSpaceDE w:val="0"/>
        <w:autoSpaceDN w:val="0"/>
        <w:bidi w:val="0"/>
        <w:adjustRightInd/>
        <w:snapToGrid/>
        <w:spacing w:line="340" w:lineRule="exact"/>
        <w:ind w:right="1634" w:rightChars="778" w:firstLine="643" w:firstLineChars="200"/>
        <w:jc w:val="left"/>
        <w:textAlignment w:val="auto"/>
        <w:rPr>
          <w:rFonts w:hint="eastAsia" w:ascii="仿宋" w:hAnsi="仿宋" w:eastAsia="仿宋" w:cs="仿宋"/>
          <w:b/>
          <w:bCs w:val="0"/>
          <w:color w:val="auto"/>
          <w:kern w:val="44"/>
          <w:sz w:val="32"/>
          <w:szCs w:val="32"/>
          <w:lang w:val="zh-CN" w:eastAsia="zh-CN" w:bidi="ar-SA"/>
        </w:rPr>
      </w:pPr>
    </w:p>
    <w:p>
      <w:pPr>
        <w:pStyle w:val="2"/>
        <w:keepNext/>
        <w:keepLines/>
        <w:numPr>
          <w:ilvl w:val="0"/>
          <w:numId w:val="0"/>
        </w:numPr>
        <w:autoSpaceDE/>
        <w:autoSpaceDN/>
        <w:spacing w:before="240" w:after="240"/>
        <w:ind w:left="1822" w:leftChars="103" w:hanging="1606" w:hangingChars="500"/>
        <w:jc w:val="both"/>
        <w:rPr>
          <w:rFonts w:hint="default" w:ascii="仿宋" w:hAnsi="仿宋" w:eastAsia="仿宋" w:cs="仿宋"/>
          <w:b/>
          <w:bCs w:val="0"/>
          <w:color w:val="auto"/>
          <w:kern w:val="44"/>
          <w:sz w:val="32"/>
          <w:szCs w:val="32"/>
          <w:highlight w:val="none"/>
          <w:lang w:val="en-US" w:eastAsia="zh-CN" w:bidi="ar-SA"/>
        </w:rPr>
      </w:pPr>
      <w:r>
        <w:rPr>
          <w:rFonts w:hint="eastAsia" w:ascii="仿宋" w:hAnsi="仿宋" w:eastAsia="仿宋" w:cs="仿宋"/>
          <w:b/>
          <w:bCs w:val="0"/>
          <w:color w:val="auto"/>
          <w:kern w:val="44"/>
          <w:sz w:val="32"/>
          <w:szCs w:val="32"/>
          <w:highlight w:val="none"/>
          <w:lang w:val="zh-CN" w:eastAsia="zh-CN" w:bidi="ar-SA"/>
        </w:rPr>
        <w:t>项目编号:ZFY-BX-20260601</w:t>
      </w:r>
    </w:p>
    <w:p>
      <w:pPr>
        <w:pStyle w:val="2"/>
        <w:keepNext/>
        <w:keepLines/>
        <w:pageBreakBefore w:val="0"/>
        <w:widowControl w:val="0"/>
        <w:numPr>
          <w:ilvl w:val="0"/>
          <w:numId w:val="0"/>
        </w:numPr>
        <w:kinsoku/>
        <w:wordWrap/>
        <w:overflowPunct/>
        <w:topLinePunct w:val="0"/>
        <w:autoSpaceDE/>
        <w:autoSpaceDN/>
        <w:bidi w:val="0"/>
        <w:adjustRightInd/>
        <w:snapToGrid/>
        <w:spacing w:before="240" w:after="240" w:line="240" w:lineRule="auto"/>
        <w:ind w:left="1822" w:leftChars="103" w:hanging="1606" w:hangingChars="500"/>
        <w:jc w:val="left"/>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rPr>
        <w:t>项目名称：</w:t>
      </w:r>
      <w:r>
        <w:rPr>
          <w:rFonts w:hint="eastAsia" w:ascii="仿宋" w:hAnsi="仿宋" w:eastAsia="仿宋" w:cs="仿宋"/>
          <w:bCs w:val="0"/>
          <w:color w:val="auto"/>
          <w:kern w:val="44"/>
          <w:sz w:val="32"/>
          <w:szCs w:val="32"/>
          <w:highlight w:val="none"/>
          <w:lang w:val="zh-CN"/>
        </w:rPr>
        <w:t>惠州市职业病防治院采购代理机构遴选项目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2026</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月</w:t>
      </w:r>
    </w:p>
    <w:p>
      <w:pPr>
        <w:rPr>
          <w:rFonts w:hint="eastAsia" w:ascii="仿宋" w:hAnsi="仿宋" w:eastAsia="仿宋" w:cs="仿宋"/>
          <w:b/>
          <w:color w:val="auto"/>
          <w:sz w:val="32"/>
          <w:szCs w:val="32"/>
        </w:rPr>
      </w:pPr>
    </w:p>
    <w:p>
      <w:pPr>
        <w:jc w:val="center"/>
        <w:rPr>
          <w:rFonts w:hint="eastAsia" w:ascii="仿宋" w:hAnsi="仿宋" w:eastAsia="仿宋" w:cs="仿宋"/>
          <w:b/>
          <w:bCs/>
          <w:color w:val="auto"/>
          <w:sz w:val="52"/>
          <w:szCs w:val="5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仿宋" w:hAnsi="仿宋" w:eastAsia="仿宋" w:cs="仿宋"/>
          <w:b/>
          <w:bCs/>
          <w:caps/>
          <w:color w:val="auto"/>
          <w:sz w:val="28"/>
          <w:szCs w:val="28"/>
        </w:rPr>
      </w:pPr>
      <w:r>
        <w:rPr>
          <w:rFonts w:hint="eastAsia" w:ascii="仿宋" w:hAnsi="仿宋" w:eastAsia="仿宋" w:cs="仿宋"/>
          <w:b/>
          <w:bCs/>
          <w:color w:val="auto"/>
          <w:sz w:val="52"/>
          <w:szCs w:val="52"/>
        </w:rPr>
        <w:t>目      录</w:t>
      </w:r>
      <w:r>
        <w:rPr>
          <w:rFonts w:hint="eastAsia" w:ascii="仿宋" w:hAnsi="仿宋" w:eastAsia="仿宋" w:cs="仿宋"/>
          <w:b/>
          <w:bCs/>
          <w:caps/>
          <w:color w:val="auto"/>
          <w:sz w:val="52"/>
          <w:szCs w:val="52"/>
        </w:rPr>
        <w:br w:type="textWrapping"/>
      </w:r>
    </w:p>
    <w:p>
      <w:pPr>
        <w:pStyle w:val="21"/>
        <w:tabs>
          <w:tab w:val="right" w:leader="dot" w:pos="9174"/>
        </w:tabs>
        <w:spacing w:line="360" w:lineRule="auto"/>
        <w:rPr>
          <w:rFonts w:hint="eastAsia" w:ascii="仿宋" w:hAnsi="仿宋" w:eastAsia="仿宋" w:cs="仿宋"/>
          <w:b/>
          <w:bCs/>
          <w:color w:val="auto"/>
          <w:sz w:val="36"/>
          <w:szCs w:val="36"/>
        </w:rPr>
      </w:pPr>
      <w:r>
        <w:rPr>
          <w:rFonts w:hint="eastAsia" w:ascii="仿宋" w:hAnsi="仿宋" w:eastAsia="仿宋" w:cs="仿宋"/>
          <w:b/>
          <w:bCs/>
          <w:color w:val="auto"/>
          <w:sz w:val="36"/>
          <w:szCs w:val="36"/>
        </w:rPr>
        <w:t>第一部分  比选邀请函</w:t>
      </w:r>
    </w:p>
    <w:p>
      <w:pP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r>
        <w:rPr>
          <w:rFonts w:hint="eastAsia" w:ascii="仿宋" w:hAnsi="仿宋" w:eastAsia="仿宋" w:cs="仿宋"/>
          <w:b/>
          <w:bCs/>
          <w:color w:val="auto"/>
          <w:sz w:val="36"/>
          <w:szCs w:val="36"/>
        </w:rPr>
        <w:t>第二部分  采购项目内容</w:t>
      </w:r>
      <w:r>
        <w:rPr>
          <w:rFonts w:hint="eastAsia" w:ascii="仿宋" w:hAnsi="仿宋" w:eastAsia="仿宋" w:cs="仿宋"/>
          <w:b/>
          <w:bCs/>
          <w:color w:val="auto"/>
          <w:sz w:val="36"/>
          <w:szCs w:val="36"/>
          <w:lang w:eastAsia="zh-CN"/>
        </w:rPr>
        <w:t>及需求</w:t>
      </w:r>
    </w:p>
    <w:p>
      <w:pP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r>
        <w:rPr>
          <w:rFonts w:hint="eastAsia" w:ascii="仿宋" w:hAnsi="仿宋" w:eastAsia="仿宋" w:cs="仿宋"/>
          <w:b/>
          <w:bCs/>
          <w:color w:val="auto"/>
          <w:sz w:val="36"/>
          <w:szCs w:val="36"/>
        </w:rPr>
        <w:t>第三部分  响应供应商须知</w:t>
      </w:r>
    </w:p>
    <w:p>
      <w:pP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r>
        <w:rPr>
          <w:rFonts w:hint="eastAsia" w:ascii="仿宋" w:hAnsi="仿宋" w:eastAsia="仿宋" w:cs="仿宋"/>
          <w:b/>
          <w:bCs/>
          <w:color w:val="auto"/>
          <w:sz w:val="36"/>
          <w:szCs w:val="36"/>
        </w:rPr>
        <w:t xml:space="preserve">第四部分  </w:t>
      </w:r>
      <w:r>
        <w:rPr>
          <w:rFonts w:hint="eastAsia" w:ascii="仿宋" w:hAnsi="仿宋" w:eastAsia="仿宋" w:cs="仿宋"/>
          <w:b/>
          <w:bCs/>
          <w:color w:val="auto"/>
          <w:kern w:val="2"/>
          <w:sz w:val="36"/>
          <w:szCs w:val="36"/>
          <w:highlight w:val="none"/>
          <w:lang w:val="en-US" w:eastAsia="zh-CN"/>
        </w:rPr>
        <w:t>评审</w:t>
      </w:r>
    </w:p>
    <w:p>
      <w:pP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r>
        <w:rPr>
          <w:rFonts w:hint="eastAsia" w:ascii="仿宋" w:hAnsi="仿宋" w:eastAsia="仿宋" w:cs="仿宋"/>
          <w:b/>
          <w:bCs/>
          <w:color w:val="auto"/>
          <w:sz w:val="36"/>
          <w:szCs w:val="36"/>
        </w:rPr>
        <w:t>第五部分  响应文件格式</w:t>
      </w: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jc w:val="center"/>
        <w:rPr>
          <w:rFonts w:hint="eastAsia" w:ascii="仿宋" w:hAnsi="仿宋" w:eastAsia="仿宋" w:cs="仿宋"/>
          <w:b/>
          <w:color w:val="auto"/>
          <w:sz w:val="32"/>
          <w:szCs w:val="32"/>
        </w:rPr>
      </w:pPr>
    </w:p>
    <w:p>
      <w:pPr>
        <w:spacing w:line="360" w:lineRule="auto"/>
        <w:rPr>
          <w:rFonts w:hint="eastAsia" w:ascii="仿宋" w:hAnsi="仿宋" w:eastAsia="仿宋" w:cs="仿宋"/>
          <w:b/>
          <w:color w:val="auto"/>
          <w:kern w:val="0"/>
          <w:sz w:val="28"/>
          <w:szCs w:val="28"/>
        </w:rPr>
        <w:sectPr>
          <w:footerReference r:id="rId4" w:type="default"/>
          <w:pgSz w:w="11906" w:h="16838"/>
          <w:pgMar w:top="1440" w:right="1786" w:bottom="1440" w:left="1803"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420" w:lineRule="exact"/>
        <w:jc w:val="center"/>
        <w:rPr>
          <w:rFonts w:hint="eastAsia" w:ascii="方正小标宋简体" w:hAnsi="方正小标宋简体" w:eastAsia="方正小标宋简体" w:cs="方正小标宋简体"/>
          <w:b w:val="0"/>
          <w:bCs/>
          <w:color w:val="auto"/>
          <w:kern w:val="0"/>
          <w:sz w:val="32"/>
          <w:szCs w:val="32"/>
        </w:rPr>
      </w:pPr>
      <w:r>
        <w:rPr>
          <w:rFonts w:hint="eastAsia" w:ascii="方正小标宋简体" w:hAnsi="方正小标宋简体" w:eastAsia="方正小标宋简体" w:cs="方正小标宋简体"/>
          <w:b w:val="0"/>
          <w:bCs/>
          <w:color w:val="auto"/>
          <w:kern w:val="0"/>
          <w:sz w:val="32"/>
          <w:szCs w:val="32"/>
        </w:rPr>
        <w:t>第一部分 比选邀请函</w:t>
      </w:r>
    </w:p>
    <w:p>
      <w:pPr>
        <w:spacing w:line="360" w:lineRule="auto"/>
        <w:rPr>
          <w:rFonts w:hint="eastAsia" w:ascii="宋体" w:hAnsi="宋体" w:eastAsia="宋体" w:cs="宋体"/>
          <w:color w:val="auto"/>
          <w:kern w:val="0"/>
          <w:sz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各（潜在）供应商:</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惠州市职业病防治院就</w:t>
      </w:r>
      <w:r>
        <w:rPr>
          <w:rFonts w:hint="eastAsia" w:ascii="仿宋" w:hAnsi="仿宋" w:eastAsia="仿宋" w:cs="仿宋"/>
          <w:color w:val="auto"/>
          <w:kern w:val="2"/>
          <w:sz w:val="24"/>
          <w:szCs w:val="24"/>
          <w:highlight w:val="none"/>
          <w:lang w:val="en-US" w:eastAsia="zh-CN"/>
        </w:rPr>
        <w:t>本院</w:t>
      </w:r>
      <w:r>
        <w:rPr>
          <w:rFonts w:hint="eastAsia" w:ascii="仿宋" w:hAnsi="仿宋" w:eastAsia="仿宋" w:cs="仿宋"/>
          <w:bCs w:val="0"/>
          <w:color w:val="auto"/>
          <w:kern w:val="2"/>
          <w:sz w:val="24"/>
          <w:szCs w:val="24"/>
          <w:highlight w:val="none"/>
          <w:lang w:val="zh-CN" w:eastAsia="zh-CN"/>
        </w:rPr>
        <w:t>采购代理机构遴选项目</w:t>
      </w:r>
      <w:r>
        <w:rPr>
          <w:rFonts w:hint="eastAsia" w:ascii="仿宋" w:hAnsi="仿宋" w:eastAsia="仿宋" w:cs="仿宋"/>
          <w:color w:val="auto"/>
          <w:kern w:val="2"/>
          <w:sz w:val="24"/>
          <w:szCs w:val="24"/>
          <w:highlight w:val="none"/>
          <w:lang w:eastAsia="zh-CN"/>
        </w:rPr>
        <w:t>将进行院内比选</w:t>
      </w:r>
      <w:r>
        <w:rPr>
          <w:rFonts w:hint="eastAsia" w:ascii="仿宋" w:hAnsi="仿宋" w:eastAsia="仿宋" w:cs="仿宋"/>
          <w:color w:val="auto"/>
          <w:kern w:val="2"/>
          <w:sz w:val="24"/>
          <w:szCs w:val="24"/>
          <w:highlight w:val="none"/>
        </w:rPr>
        <w:t>采购，</w:t>
      </w:r>
      <w:r>
        <w:rPr>
          <w:rFonts w:hint="eastAsia" w:ascii="仿宋" w:hAnsi="仿宋" w:eastAsia="仿宋" w:cs="仿宋"/>
          <w:color w:val="auto"/>
          <w:kern w:val="2"/>
          <w:sz w:val="24"/>
          <w:szCs w:val="24"/>
          <w:highlight w:val="none"/>
          <w:lang w:val="zh-CN"/>
        </w:rPr>
        <w:t>欢迎符合资格条件</w:t>
      </w:r>
      <w:r>
        <w:rPr>
          <w:rFonts w:hint="eastAsia" w:ascii="仿宋" w:hAnsi="仿宋" w:eastAsia="仿宋" w:cs="仿宋"/>
          <w:color w:val="auto"/>
          <w:kern w:val="2"/>
          <w:sz w:val="24"/>
          <w:szCs w:val="24"/>
          <w:highlight w:val="none"/>
        </w:rPr>
        <w:t>的供应商响应。</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zh-CN" w:eastAsia="zh-CN"/>
        </w:rPr>
        <w:t>一、</w:t>
      </w:r>
      <w:r>
        <w:rPr>
          <w:rFonts w:hint="eastAsia" w:ascii="仿宋" w:hAnsi="仿宋" w:eastAsia="仿宋" w:cs="仿宋"/>
          <w:color w:val="auto"/>
          <w:kern w:val="2"/>
          <w:sz w:val="24"/>
          <w:szCs w:val="24"/>
          <w:highlight w:val="none"/>
          <w:lang w:val="zh-CN"/>
        </w:rPr>
        <w:t>项目编号：ZFY-BX-20260601</w:t>
      </w:r>
      <w:r>
        <w:rPr>
          <w:rFonts w:hint="eastAsia" w:ascii="仿宋" w:hAnsi="仿宋" w:eastAsia="仿宋" w:cs="仿宋"/>
          <w:color w:val="auto"/>
          <w:kern w:val="2"/>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zh-CN" w:eastAsia="zh-CN"/>
        </w:rPr>
      </w:pPr>
      <w:r>
        <w:rPr>
          <w:rFonts w:hint="eastAsia" w:ascii="仿宋" w:hAnsi="仿宋" w:eastAsia="仿宋" w:cs="仿宋"/>
          <w:color w:val="auto"/>
          <w:kern w:val="2"/>
          <w:sz w:val="24"/>
          <w:szCs w:val="24"/>
          <w:highlight w:val="none"/>
          <w:lang w:val="zh-CN"/>
        </w:rPr>
        <w:t>二、项目名称：</w:t>
      </w:r>
      <w:r>
        <w:rPr>
          <w:rFonts w:hint="eastAsia" w:ascii="仿宋" w:hAnsi="仿宋" w:eastAsia="仿宋" w:cs="仿宋"/>
          <w:color w:val="auto"/>
          <w:kern w:val="2"/>
          <w:sz w:val="24"/>
          <w:szCs w:val="24"/>
          <w:highlight w:val="none"/>
          <w:lang w:val="zh-CN" w:eastAsia="zh-CN"/>
        </w:rPr>
        <w:t>惠州市职业病防治院采购代理机构遴选项目</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三</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项目预算：</w:t>
      </w:r>
      <w:r>
        <w:rPr>
          <w:rFonts w:hint="eastAsia" w:ascii="仿宋" w:hAnsi="仿宋" w:eastAsia="仿宋" w:cs="仿宋"/>
          <w:kern w:val="0"/>
          <w:sz w:val="24"/>
          <w:szCs w:val="24"/>
          <w:lang w:val="en-US" w:eastAsia="zh-CN" w:bidi="ar-SA"/>
        </w:rPr>
        <w:t>本项目无具体预算</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val="en-US" w:eastAsia="zh-CN"/>
        </w:rPr>
        <w:t>四、服务期限</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lang w:val="en-US" w:eastAsia="zh-CN"/>
        </w:rPr>
        <w:t>两年</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五</w:t>
      </w:r>
      <w:r>
        <w:rPr>
          <w:rFonts w:hint="eastAsia" w:ascii="仿宋" w:hAnsi="仿宋" w:eastAsia="仿宋" w:cs="仿宋"/>
          <w:color w:val="auto"/>
          <w:kern w:val="2"/>
          <w:sz w:val="24"/>
          <w:szCs w:val="24"/>
          <w:highlight w:val="none"/>
        </w:rPr>
        <w:t>、采购项目内容</w:t>
      </w:r>
    </w:p>
    <w:tbl>
      <w:tblPr>
        <w:tblStyle w:val="3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464"/>
        <w:gridCol w:w="728"/>
        <w:gridCol w:w="2294"/>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14" w:type="dxa"/>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名称</w:t>
            </w:r>
          </w:p>
        </w:tc>
        <w:tc>
          <w:tcPr>
            <w:tcW w:w="1464" w:type="dxa"/>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拟选取代理机构数量</w:t>
            </w:r>
          </w:p>
        </w:tc>
        <w:tc>
          <w:tcPr>
            <w:tcW w:w="728" w:type="dxa"/>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服务周期</w:t>
            </w:r>
          </w:p>
        </w:tc>
        <w:tc>
          <w:tcPr>
            <w:tcW w:w="2294" w:type="dxa"/>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报价方式</w:t>
            </w:r>
          </w:p>
        </w:tc>
        <w:tc>
          <w:tcPr>
            <w:tcW w:w="2568" w:type="dxa"/>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采购代理机构遴选</w:t>
            </w:r>
          </w:p>
        </w:tc>
        <w:tc>
          <w:tcPr>
            <w:tcW w:w="1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6家</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2年</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采购代理服务费按【2002】1980号文收费标准下浮</w:t>
            </w:r>
          </w:p>
        </w:tc>
        <w:tc>
          <w:tcPr>
            <w:tcW w:w="2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代理服务费由各项目中标供应商支付给代理机构</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kern w:val="0"/>
          <w:sz w:val="24"/>
          <w:szCs w:val="24"/>
          <w:lang w:val="en-US" w:eastAsia="zh-CN"/>
        </w:rPr>
        <w:t>六</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供应商资格要求</w:t>
      </w:r>
      <w:r>
        <w:rPr>
          <w:rFonts w:hint="eastAsia" w:ascii="仿宋" w:hAnsi="仿宋" w:eastAsia="仿宋" w:cs="仿宋"/>
          <w:color w:val="auto"/>
          <w:kern w:val="2"/>
          <w:sz w:val="24"/>
          <w:szCs w:val="24"/>
        </w:rPr>
        <w:t xml:space="preserve"> </w:t>
      </w:r>
    </w:p>
    <w:p>
      <w:pPr>
        <w:pStyle w:val="8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 w:val="0"/>
          <w:kern w:val="0"/>
          <w:sz w:val="24"/>
          <w:szCs w:val="24"/>
          <w:lang w:val="en-US" w:eastAsia="zh-CN" w:bidi="ar-SA"/>
        </w:rPr>
        <w:t>（一）响应供应商</w:t>
      </w:r>
      <w:r>
        <w:rPr>
          <w:rFonts w:hint="eastAsia" w:ascii="仿宋" w:hAnsi="仿宋" w:eastAsia="仿宋" w:cs="仿宋"/>
          <w:sz w:val="24"/>
          <w:szCs w:val="24"/>
        </w:rPr>
        <w:t>应具备《中华人民共和国政府采购法》第二十二条规定的条件，提供下列材料：</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供应商必须是具有独立承担民事责任能力的在中华人民共和国境内注册的法人或其他组织或自然人，响应时提交有效的营业执照（或事业法人登记证或身份证等相关证明）副本复印件。分支机构响应的，须提供总公司和分公司营业执照副本复印件，总公司出具给分支机构的授权书。</w:t>
      </w:r>
    </w:p>
    <w:p>
      <w:pPr>
        <w:widowControl w:val="0"/>
        <w:shd w:val="clear" w:color="auto" w:fill="auto"/>
        <w:kinsoku/>
        <w:wordWrap/>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2、供应商必须具有良好的商业信誉和健全的财务会计制度，（</w:t>
      </w:r>
      <w:r>
        <w:rPr>
          <w:rFonts w:hint="eastAsia" w:ascii="仿宋" w:hAnsi="仿宋" w:eastAsia="仿宋" w:cs="仿宋"/>
          <w:color w:val="auto"/>
          <w:kern w:val="0"/>
          <w:sz w:val="24"/>
          <w:lang w:eastAsia="zh-CN"/>
        </w:rPr>
        <w:t>提供2024年度或</w:t>
      </w:r>
      <w:r>
        <w:rPr>
          <w:rFonts w:hint="eastAsia" w:ascii="仿宋" w:hAnsi="仿宋" w:eastAsia="仿宋" w:cs="仿宋"/>
          <w:color w:val="auto"/>
          <w:kern w:val="0"/>
          <w:sz w:val="24"/>
          <w:lang w:val="en-US" w:eastAsia="zh-CN"/>
        </w:rPr>
        <w:t>2025年度</w:t>
      </w:r>
      <w:r>
        <w:rPr>
          <w:rFonts w:hint="eastAsia" w:ascii="仿宋" w:hAnsi="仿宋" w:eastAsia="仿宋" w:cs="仿宋"/>
          <w:color w:val="auto"/>
          <w:kern w:val="0"/>
          <w:sz w:val="24"/>
          <w:lang w:eastAsia="zh-CN"/>
        </w:rPr>
        <w:t>财务状况报告或基本开户行出具的资信证明</w:t>
      </w:r>
      <w:r>
        <w:rPr>
          <w:rFonts w:hint="eastAsia" w:ascii="仿宋" w:hAnsi="仿宋" w:eastAsia="仿宋" w:cs="仿宋"/>
          <w:kern w:val="0"/>
          <w:sz w:val="24"/>
          <w:lang w:eastAsia="zh-CN"/>
        </w:rPr>
        <w:t>）。</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3、有依法缴纳税收和社会保障资金的良好记录，（</w:t>
      </w:r>
      <w:r>
        <w:rPr>
          <w:rFonts w:hint="eastAsia" w:ascii="仿宋" w:hAnsi="仿宋" w:eastAsia="仿宋" w:cs="仿宋"/>
          <w:color w:val="auto"/>
          <w:kern w:val="0"/>
          <w:sz w:val="24"/>
          <w:szCs w:val="24"/>
        </w:rPr>
        <w:t>提供</w:t>
      </w:r>
      <w:r>
        <w:rPr>
          <w:rFonts w:hint="eastAsia" w:ascii="仿宋" w:hAnsi="仿宋" w:eastAsia="仿宋" w:cs="仿宋"/>
          <w:color w:val="auto"/>
          <w:kern w:val="0"/>
          <w:sz w:val="24"/>
          <w:szCs w:val="24"/>
          <w:lang w:eastAsia="zh-CN"/>
        </w:rPr>
        <w:t>响应</w:t>
      </w:r>
      <w:r>
        <w:rPr>
          <w:rFonts w:hint="eastAsia" w:ascii="仿宋" w:hAnsi="仿宋" w:eastAsia="仿宋" w:cs="仿宋"/>
          <w:color w:val="auto"/>
          <w:kern w:val="0"/>
          <w:sz w:val="24"/>
          <w:szCs w:val="24"/>
        </w:rPr>
        <w:t>截止日前 6 个月内任意 1 个月依法缴纳税收和社会保障资金的相关材料。如依法免税或不需要缴纳社会保障资金的，提供相应证明材料</w:t>
      </w:r>
      <w:r>
        <w:rPr>
          <w:rFonts w:hint="eastAsia" w:ascii="仿宋" w:hAnsi="仿宋" w:eastAsia="仿宋" w:cs="仿宋"/>
          <w:kern w:val="0"/>
          <w:sz w:val="24"/>
          <w:szCs w:val="24"/>
          <w:lang w:eastAsia="zh-CN"/>
        </w:rPr>
        <w:t>）。</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4、具备履行合同所必需的设备和专业技术能力，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提供</w:t>
      </w:r>
      <w:r>
        <w:rPr>
          <w:rFonts w:hint="eastAsia" w:ascii="仿宋" w:hAnsi="仿宋" w:eastAsia="仿宋" w:cs="仿宋"/>
          <w:color w:val="auto"/>
          <w:sz w:val="24"/>
          <w:szCs w:val="24"/>
        </w:rPr>
        <w:t>声明函，格式自拟）</w:t>
      </w:r>
      <w:r>
        <w:rPr>
          <w:rFonts w:hint="eastAsia" w:ascii="仿宋" w:hAnsi="仿宋" w:eastAsia="仿宋" w:cs="仿宋"/>
          <w:kern w:val="0"/>
          <w:sz w:val="24"/>
          <w:szCs w:val="24"/>
          <w:lang w:val="en-US" w:eastAsia="zh-CN"/>
        </w:rPr>
        <w:t>。</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5、参加采购活动前3年内，在经营活动中没有重大违法记录，</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提供承诺函，格式自拟）</w:t>
      </w:r>
      <w:r>
        <w:rPr>
          <w:rFonts w:hint="eastAsia" w:ascii="仿宋" w:hAnsi="仿宋" w:eastAsia="仿宋" w:cs="仿宋"/>
          <w:color w:val="auto"/>
          <w:kern w:val="0"/>
          <w:sz w:val="24"/>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仿宋"/>
          <w:kern w:val="0"/>
          <w:sz w:val="24"/>
          <w:szCs w:val="24"/>
          <w:lang w:val="en-US" w:eastAsia="zh-CN"/>
        </w:rPr>
        <w:t>。</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（二）落实政府采购政策需满足的资格要求：</w:t>
      </w:r>
      <w:bookmarkStart w:id="0" w:name="OLE_LINK1"/>
      <w:bookmarkStart w:id="1" w:name="OLE_LINK2"/>
      <w:r>
        <w:rPr>
          <w:rFonts w:hint="eastAsia" w:ascii="仿宋" w:hAnsi="仿宋" w:eastAsia="仿宋" w:cs="仿宋"/>
          <w:kern w:val="0"/>
          <w:sz w:val="24"/>
          <w:szCs w:val="24"/>
          <w:lang w:val="en-US" w:eastAsia="zh-CN"/>
        </w:rPr>
        <w:t>采购包整体专门面向中小企业。本项目所属行业：其他未列明行业。</w:t>
      </w:r>
    </w:p>
    <w:bookmarkEnd w:id="0"/>
    <w:bookmarkEnd w:id="1"/>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（三）本项目特定的资格要求：</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供应商需提供相关证明资料）。</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单位负责人为同一人或者存在直接控股、管理关系的不同供应商，不得同时参加本采购项目（或采购包）比选（响应）。为本项目提供整体设计、规范编制或者项目管理、监理、检测等服务的供应商，不得再参与本项目比选（响应）。</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提供</w:t>
      </w:r>
      <w:r>
        <w:rPr>
          <w:rFonts w:hint="eastAsia" w:ascii="仿宋" w:hAnsi="仿宋" w:eastAsia="仿宋" w:cs="仿宋"/>
          <w:color w:val="auto"/>
          <w:kern w:val="0"/>
          <w:sz w:val="24"/>
          <w:szCs w:val="24"/>
        </w:rPr>
        <w:t>声明函，格式自拟）</w:t>
      </w:r>
      <w:r>
        <w:rPr>
          <w:rFonts w:hint="eastAsia" w:ascii="仿宋" w:hAnsi="仿宋" w:eastAsia="仿宋" w:cs="仿宋"/>
          <w:kern w:val="0"/>
          <w:sz w:val="24"/>
          <w:szCs w:val="24"/>
          <w:lang w:val="en-US" w:eastAsia="zh-CN"/>
        </w:rPr>
        <w:t>。</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3、满足《政府采购代理机构管理暂行办法》（财库〔2018〕2号）第十一条。</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提供</w:t>
      </w:r>
      <w:r>
        <w:rPr>
          <w:rFonts w:hint="eastAsia" w:ascii="仿宋" w:hAnsi="仿宋" w:eastAsia="仿宋" w:cs="仿宋"/>
          <w:kern w:val="0"/>
          <w:sz w:val="24"/>
          <w:szCs w:val="24"/>
        </w:rPr>
        <w:t>声明函，格式自拟）</w:t>
      </w:r>
      <w:r>
        <w:rPr>
          <w:rFonts w:hint="eastAsia" w:ascii="仿宋" w:hAnsi="仿宋" w:eastAsia="仿宋" w:cs="仿宋"/>
          <w:kern w:val="0"/>
          <w:sz w:val="24"/>
          <w:szCs w:val="24"/>
          <w:lang w:val="en-US" w:eastAsia="zh-CN"/>
        </w:rPr>
        <w:t>。</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4、广东省政府采购智慧云平台正式中介机构，</w:t>
      </w:r>
      <w:r>
        <w:rPr>
          <w:rFonts w:hint="eastAsia" w:ascii="仿宋" w:hAnsi="仿宋" w:eastAsia="仿宋" w:cs="仿宋"/>
          <w:color w:val="auto"/>
          <w:kern w:val="0"/>
          <w:sz w:val="24"/>
          <w:szCs w:val="24"/>
          <w:highlight w:val="none"/>
          <w:lang w:val="en-US" w:eastAsia="zh-CN"/>
        </w:rPr>
        <w:t>提供相关材料或相关截图</w:t>
      </w:r>
      <w:r>
        <w:rPr>
          <w:rFonts w:hint="eastAsia" w:ascii="仿宋" w:hAnsi="仿宋" w:eastAsia="仿宋" w:cs="仿宋"/>
          <w:kern w:val="0"/>
          <w:sz w:val="24"/>
          <w:szCs w:val="24"/>
          <w:lang w:val="en-US" w:eastAsia="zh-CN"/>
        </w:rPr>
        <w:t>。</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提供国家住建部全国建筑市场监管公共服务平台、惠州市公共资源交易中心、中正国标中易电子交易平台的注册或备案证明（提供查询或操作截图）。未在国家住建部全国建筑市场监管公共服务平台、中正国标中易电子交易平台办理注册或备案手续的，须承诺在承接代理项目前完成注册或备案手续，否则我院有权取消其中选资格。（提供承诺函，格式自拟）；</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6、本项目不接受联合体投标，不允许供应商对本招标项目进行分包和转包。</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提供</w:t>
      </w:r>
      <w:r>
        <w:rPr>
          <w:rFonts w:hint="eastAsia" w:ascii="仿宋" w:hAnsi="仿宋" w:eastAsia="仿宋" w:cs="仿宋"/>
          <w:kern w:val="0"/>
          <w:sz w:val="24"/>
          <w:szCs w:val="24"/>
        </w:rPr>
        <w:t>声明函，格式自拟）</w:t>
      </w:r>
      <w:r>
        <w:rPr>
          <w:rFonts w:hint="eastAsia" w:ascii="仿宋" w:hAnsi="仿宋" w:eastAsia="仿宋" w:cs="仿宋"/>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yellow"/>
          <w:lang w:val="en-US" w:eastAsia="zh-CN"/>
        </w:rPr>
      </w:pPr>
      <w:r>
        <w:rPr>
          <w:rFonts w:hint="eastAsia" w:ascii="仿宋" w:hAnsi="仿宋" w:eastAsia="仿宋" w:cs="仿宋"/>
          <w:color w:val="auto"/>
          <w:kern w:val="2"/>
          <w:sz w:val="24"/>
          <w:szCs w:val="24"/>
          <w:highlight w:val="none"/>
          <w:lang w:val="en-US" w:eastAsia="zh-CN"/>
        </w:rPr>
        <w:t>（四）已在采购办报名成功。（</w:t>
      </w:r>
      <w:r>
        <w:rPr>
          <w:rFonts w:hint="eastAsia" w:ascii="仿宋" w:hAnsi="仿宋" w:eastAsia="仿宋" w:cs="仿宋"/>
          <w:color w:val="auto"/>
          <w:sz w:val="24"/>
          <w:szCs w:val="24"/>
          <w:highlight w:val="none"/>
          <w:lang w:val="en-US" w:eastAsia="zh-CN"/>
        </w:rPr>
        <w:t>以采购办提供供应商报名资料为准）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val="en-US" w:eastAsia="zh-CN"/>
        </w:rPr>
        <w:t>七</w:t>
      </w:r>
      <w:r>
        <w:rPr>
          <w:rFonts w:hint="eastAsia" w:ascii="仿宋" w:hAnsi="仿宋" w:eastAsia="仿宋" w:cs="仿宋"/>
          <w:color w:val="auto"/>
          <w:kern w:val="2"/>
          <w:sz w:val="24"/>
          <w:szCs w:val="24"/>
          <w:highlight w:val="none"/>
        </w:rPr>
        <w:t>、符合资格的供应商</w:t>
      </w:r>
    </w:p>
    <w:p>
      <w:pPr>
        <w:keepNext w:val="0"/>
        <w:keepLines w:val="0"/>
        <w:pageBreakBefore w:val="0"/>
        <w:widowControl w:val="0"/>
        <w:kinsoku/>
        <w:wordWrap/>
        <w:overflowPunct/>
        <w:topLinePunct w:val="0"/>
        <w:bidi w:val="0"/>
        <w:adjustRightInd/>
        <w:snapToGrid/>
        <w:spacing w:line="360" w:lineRule="auto"/>
        <w:ind w:firstLine="482" w:firstLineChars="200"/>
        <w:jc w:val="left"/>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应当在2026年</w:t>
      </w:r>
      <w:r>
        <w:rPr>
          <w:rFonts w:hint="eastAsia" w:ascii="仿宋" w:hAnsi="仿宋" w:eastAsia="仿宋" w:cs="仿宋"/>
          <w:b/>
          <w:bCs/>
          <w:color w:val="auto"/>
          <w:kern w:val="2"/>
          <w:sz w:val="24"/>
          <w:szCs w:val="24"/>
          <w:highlight w:val="none"/>
          <w:u w:val="single"/>
          <w:lang w:val="en-US" w:eastAsia="zh-CN"/>
        </w:rPr>
        <w:t xml:space="preserve"> 6 </w:t>
      </w:r>
      <w:r>
        <w:rPr>
          <w:rFonts w:hint="eastAsia" w:ascii="仿宋" w:hAnsi="仿宋" w:eastAsia="仿宋" w:cs="仿宋"/>
          <w:b/>
          <w:bCs/>
          <w:color w:val="auto"/>
          <w:kern w:val="2"/>
          <w:sz w:val="24"/>
          <w:szCs w:val="24"/>
          <w:highlight w:val="none"/>
          <w:lang w:val="en-US" w:eastAsia="zh-CN"/>
        </w:rPr>
        <w:t>月</w:t>
      </w:r>
      <w:r>
        <w:rPr>
          <w:rFonts w:hint="eastAsia" w:ascii="仿宋" w:hAnsi="仿宋" w:eastAsia="仿宋" w:cs="仿宋"/>
          <w:b/>
          <w:bCs/>
          <w:color w:val="auto"/>
          <w:kern w:val="2"/>
          <w:sz w:val="24"/>
          <w:szCs w:val="24"/>
          <w:highlight w:val="none"/>
          <w:u w:val="single"/>
          <w:lang w:val="en-US" w:eastAsia="zh-CN"/>
        </w:rPr>
        <w:t xml:space="preserve"> 12  </w:t>
      </w:r>
      <w:r>
        <w:rPr>
          <w:rFonts w:hint="eastAsia" w:ascii="仿宋" w:hAnsi="仿宋" w:eastAsia="仿宋" w:cs="仿宋"/>
          <w:b/>
          <w:bCs/>
          <w:color w:val="auto"/>
          <w:kern w:val="2"/>
          <w:sz w:val="24"/>
          <w:szCs w:val="24"/>
          <w:highlight w:val="none"/>
          <w:lang w:val="en-US" w:eastAsia="zh-CN"/>
        </w:rPr>
        <w:t>日起至2026年</w:t>
      </w:r>
      <w:r>
        <w:rPr>
          <w:rFonts w:hint="eastAsia" w:ascii="仿宋" w:hAnsi="仿宋" w:eastAsia="仿宋" w:cs="仿宋"/>
          <w:b/>
          <w:bCs/>
          <w:color w:val="auto"/>
          <w:kern w:val="2"/>
          <w:sz w:val="24"/>
          <w:szCs w:val="24"/>
          <w:highlight w:val="none"/>
          <w:u w:val="single"/>
          <w:lang w:val="en-US" w:eastAsia="zh-CN"/>
        </w:rPr>
        <w:t xml:space="preserve"> 6 </w:t>
      </w:r>
      <w:r>
        <w:rPr>
          <w:rFonts w:hint="eastAsia" w:ascii="仿宋" w:hAnsi="仿宋" w:eastAsia="仿宋" w:cs="仿宋"/>
          <w:b/>
          <w:bCs/>
          <w:color w:val="auto"/>
          <w:kern w:val="2"/>
          <w:sz w:val="24"/>
          <w:szCs w:val="24"/>
          <w:highlight w:val="none"/>
          <w:lang w:val="en-US" w:eastAsia="zh-CN"/>
        </w:rPr>
        <w:t>月</w:t>
      </w:r>
      <w:r>
        <w:rPr>
          <w:rFonts w:hint="eastAsia" w:ascii="仿宋" w:hAnsi="仿宋" w:eastAsia="仿宋" w:cs="仿宋"/>
          <w:b/>
          <w:bCs/>
          <w:color w:val="auto"/>
          <w:kern w:val="2"/>
          <w:sz w:val="24"/>
          <w:szCs w:val="24"/>
          <w:highlight w:val="none"/>
          <w:u w:val="single"/>
          <w:lang w:val="en-US" w:eastAsia="zh-CN"/>
        </w:rPr>
        <w:t xml:space="preserve"> 18  </w:t>
      </w:r>
      <w:r>
        <w:rPr>
          <w:rFonts w:hint="eastAsia" w:ascii="仿宋" w:hAnsi="仿宋" w:eastAsia="仿宋" w:cs="仿宋"/>
          <w:b/>
          <w:bCs/>
          <w:color w:val="auto"/>
          <w:kern w:val="2"/>
          <w:sz w:val="24"/>
          <w:szCs w:val="24"/>
          <w:highlight w:val="none"/>
          <w:lang w:val="en-US" w:eastAsia="zh-CN"/>
        </w:rPr>
        <w:t>日（上午08:00-12:00，下午14:30-17:30，法定节假日除外）符合资格的供应商，报名时须提供报名资料（见</w:t>
      </w:r>
      <w:r>
        <w:rPr>
          <w:rFonts w:hint="eastAsia" w:ascii="仿宋" w:hAnsi="仿宋" w:eastAsia="仿宋" w:cs="仿宋"/>
          <w:b/>
          <w:bCs/>
          <w:color w:val="auto"/>
          <w:sz w:val="24"/>
          <w:szCs w:val="24"/>
          <w:highlight w:val="none"/>
          <w:lang w:val="en-US" w:eastAsia="zh-CN"/>
        </w:rPr>
        <w:t>院内比选公告）</w:t>
      </w:r>
      <w:r>
        <w:rPr>
          <w:rFonts w:hint="eastAsia" w:ascii="仿宋" w:hAnsi="仿宋" w:eastAsia="仿宋" w:cs="仿宋"/>
          <w:b/>
          <w:bCs/>
          <w:color w:val="auto"/>
          <w:kern w:val="2"/>
          <w:sz w:val="24"/>
          <w:szCs w:val="24"/>
          <w:highlight w:val="none"/>
          <w:lang w:val="en-US" w:eastAsia="zh-CN"/>
        </w:rPr>
        <w:t>，加盖单位公章后扫描发送至邮箱</w:t>
      </w:r>
      <w:r>
        <w:rPr>
          <w:rFonts w:hint="eastAsia" w:ascii="仿宋" w:hAnsi="仿宋" w:eastAsia="仿宋" w:cs="仿宋"/>
          <w:b/>
          <w:bCs/>
          <w:color w:val="auto"/>
          <w:kern w:val="2"/>
          <w:sz w:val="24"/>
          <w:szCs w:val="24"/>
          <w:highlight w:val="none"/>
          <w:u w:val="none"/>
          <w:lang w:val="en-US" w:eastAsia="zh-CN"/>
        </w:rPr>
        <w:t>jfscgb763@163.com</w:t>
      </w:r>
      <w:r>
        <w:rPr>
          <w:rFonts w:hint="eastAsia" w:ascii="仿宋" w:hAnsi="仿宋" w:eastAsia="仿宋" w:cs="仿宋"/>
          <w:b/>
          <w:bCs/>
          <w:color w:val="auto"/>
          <w:kern w:val="2"/>
          <w:sz w:val="24"/>
          <w:szCs w:val="24"/>
          <w:highlight w:val="none"/>
          <w:lang w:val="en-US" w:eastAsia="zh-CN"/>
        </w:rPr>
        <w:t xml:space="preserve"> ，报名资料审核通过后，即为报名成功。报名资料审核不通过，将有专人电话通知，无通知视为报名成功</w:t>
      </w:r>
      <w:r>
        <w:rPr>
          <w:rFonts w:hint="eastAsia" w:ascii="仿宋" w:hAnsi="仿宋" w:eastAsia="仿宋" w:cs="仿宋"/>
          <w:b/>
          <w:bCs/>
          <w:color w:val="auto"/>
          <w:kern w:val="2"/>
          <w:sz w:val="24"/>
          <w:szCs w:val="24"/>
          <w:highlight w:val="none"/>
          <w:lang w:val="zh-CN" w:eastAsia="zh-CN"/>
        </w:rPr>
        <w:t>。比选</w:t>
      </w:r>
      <w:r>
        <w:rPr>
          <w:rFonts w:hint="eastAsia" w:ascii="仿宋" w:hAnsi="仿宋" w:eastAsia="仿宋" w:cs="仿宋"/>
          <w:b/>
          <w:bCs/>
          <w:color w:val="auto"/>
          <w:kern w:val="2"/>
          <w:sz w:val="24"/>
          <w:szCs w:val="24"/>
          <w:highlight w:val="none"/>
          <w:lang w:val="en-US" w:eastAsia="zh-CN"/>
        </w:rPr>
        <w:t>文件及报名表请自行在官网比选公告中下载。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val="en-US" w:eastAsia="zh-CN"/>
        </w:rPr>
        <w:t>八</w:t>
      </w:r>
      <w:r>
        <w:rPr>
          <w:rFonts w:hint="eastAsia" w:ascii="仿宋" w:hAnsi="仿宋" w:eastAsia="仿宋" w:cs="仿宋"/>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lang w:eastAsia="zh-CN"/>
        </w:rPr>
        <w:t>文件响应及评审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（一）响应文件递交时间：</w:t>
      </w:r>
      <w:r>
        <w:rPr>
          <w:rFonts w:hint="eastAsia" w:ascii="仿宋" w:hAnsi="仿宋" w:eastAsia="仿宋" w:cs="仿宋"/>
          <w:b/>
          <w:bCs/>
          <w:color w:val="auto"/>
          <w:kern w:val="2"/>
          <w:sz w:val="24"/>
          <w:szCs w:val="24"/>
          <w:highlight w:val="none"/>
          <w:u w:val="single"/>
          <w:lang w:val="en-US" w:eastAsia="zh-CN"/>
        </w:rPr>
        <w:t>2026年 6月 22 日下午14：30 - 下午15：00 （北京时间）</w:t>
      </w:r>
      <w:r>
        <w:rPr>
          <w:rFonts w:hint="eastAsia" w:ascii="仿宋" w:hAnsi="仿宋" w:eastAsia="仿宋" w:cs="仿宋"/>
          <w:b/>
          <w:bCs/>
          <w:color w:val="auto"/>
          <w:kern w:val="2"/>
          <w:sz w:val="24"/>
          <w:szCs w:val="24"/>
          <w:highlight w:val="none"/>
          <w:lang w:val="en-US" w:eastAsia="zh-CN"/>
        </w:rPr>
        <w:t>；响应文件递交截止时间：</w:t>
      </w:r>
      <w:r>
        <w:rPr>
          <w:rFonts w:hint="eastAsia" w:ascii="仿宋" w:hAnsi="仿宋" w:eastAsia="仿宋" w:cs="仿宋"/>
          <w:b/>
          <w:bCs/>
          <w:color w:val="auto"/>
          <w:kern w:val="2"/>
          <w:sz w:val="24"/>
          <w:szCs w:val="24"/>
          <w:highlight w:val="none"/>
          <w:u w:val="single"/>
          <w:lang w:val="en-US" w:eastAsia="zh-CN"/>
        </w:rPr>
        <w:t>2026年 6 月 22  日下午15：00。（北京时间）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（二）评审时间：</w:t>
      </w:r>
      <w:r>
        <w:rPr>
          <w:rFonts w:hint="eastAsia" w:ascii="仿宋" w:hAnsi="仿宋" w:eastAsia="仿宋" w:cs="仿宋"/>
          <w:b/>
          <w:bCs/>
          <w:color w:val="auto"/>
          <w:kern w:val="2"/>
          <w:sz w:val="24"/>
          <w:szCs w:val="24"/>
          <w:highlight w:val="none"/>
          <w:u w:val="single"/>
          <w:lang w:val="en-US" w:eastAsia="zh-CN"/>
        </w:rPr>
        <w:t>2026年  6 月 22  日 15 时 00 分。（北京时间）</w:t>
      </w:r>
      <w:r>
        <w:rPr>
          <w:rFonts w:hint="eastAsia" w:ascii="仿宋" w:hAnsi="仿宋" w:eastAsia="仿宋" w:cs="仿宋"/>
          <w:b/>
          <w:bCs/>
          <w:color w:val="auto"/>
          <w:kern w:val="2"/>
          <w:sz w:val="24"/>
          <w:szCs w:val="24"/>
          <w:highlight w:val="none"/>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kern w:val="2"/>
          <w:sz w:val="24"/>
          <w:szCs w:val="24"/>
          <w:highlight w:val="none"/>
          <w:lang w:eastAsia="zh-CN"/>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eastAsia="zh-CN"/>
        </w:rPr>
        <w:t>响应文件送达及专家</w:t>
      </w:r>
      <w:r>
        <w:rPr>
          <w:rFonts w:hint="eastAsia" w:ascii="仿宋" w:hAnsi="仿宋" w:eastAsia="仿宋" w:cs="仿宋"/>
          <w:b/>
          <w:bCs/>
          <w:color w:val="auto"/>
          <w:kern w:val="2"/>
          <w:sz w:val="24"/>
          <w:szCs w:val="24"/>
          <w:highlight w:val="none"/>
          <w:lang w:val="en-US" w:eastAsia="zh-CN"/>
        </w:rPr>
        <w:t>评审</w:t>
      </w:r>
      <w:r>
        <w:rPr>
          <w:rFonts w:hint="eastAsia" w:ascii="仿宋" w:hAnsi="仿宋" w:eastAsia="仿宋" w:cs="仿宋"/>
          <w:b/>
          <w:bCs/>
          <w:color w:val="auto"/>
          <w:kern w:val="2"/>
          <w:sz w:val="24"/>
          <w:szCs w:val="24"/>
          <w:highlight w:val="none"/>
          <w:lang w:eastAsia="zh-CN"/>
        </w:rPr>
        <w:t>地点：</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kern w:val="2"/>
          <w:sz w:val="24"/>
          <w:szCs w:val="24"/>
          <w:highlight w:val="yellow"/>
          <w:lang w:eastAsia="zh-CN"/>
        </w:rPr>
      </w:pPr>
      <w:r>
        <w:rPr>
          <w:rFonts w:hint="eastAsia" w:ascii="仿宋" w:hAnsi="仿宋" w:eastAsia="仿宋" w:cs="仿宋"/>
          <w:b/>
          <w:bCs/>
          <w:color w:val="auto"/>
          <w:kern w:val="2"/>
          <w:sz w:val="24"/>
          <w:szCs w:val="24"/>
          <w:highlight w:val="none"/>
          <w:u w:val="single"/>
          <w:lang w:val="en-US" w:eastAsia="zh-CN"/>
        </w:rPr>
        <w:t>惠州市惠城区鹅岭北路横街12号1号楼四楼采购比选室</w:t>
      </w:r>
      <w:r>
        <w:rPr>
          <w:rFonts w:hint="eastAsia" w:ascii="仿宋" w:hAnsi="仿宋" w:eastAsia="仿宋" w:cs="仿宋"/>
          <w:b/>
          <w:bCs/>
          <w:color w:val="auto"/>
          <w:kern w:val="2"/>
          <w:sz w:val="24"/>
          <w:szCs w:val="24"/>
          <w:highlight w:val="none"/>
          <w:u w:val="single"/>
          <w:lang w:eastAsia="zh-CN"/>
        </w:rPr>
        <w:t xml:space="preserve"> </w:t>
      </w:r>
      <w:r>
        <w:rPr>
          <w:rFonts w:hint="eastAsia" w:ascii="仿宋" w:hAnsi="仿宋" w:eastAsia="仿宋" w:cs="仿宋"/>
          <w:b/>
          <w:bCs/>
          <w:color w:val="auto"/>
          <w:kern w:val="2"/>
          <w:sz w:val="24"/>
          <w:szCs w:val="24"/>
          <w:highlight w:val="none"/>
          <w:lang w:eastAsia="zh-CN"/>
        </w:rPr>
        <w:t xml:space="preserve">        </w:t>
      </w:r>
      <w:r>
        <w:rPr>
          <w:rFonts w:hint="eastAsia" w:ascii="宋体" w:hAnsi="宋体" w:eastAsia="宋体" w:cs="宋体"/>
          <w:color w:val="auto"/>
          <w:kern w:val="2"/>
          <w:sz w:val="24"/>
          <w:szCs w:val="24"/>
          <w:highlight w:val="none"/>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采购人：惠州市职业病防治院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 xml:space="preserve">联系人：曾小姐   电话：0752-2389763    邮箱：hz2125076@163.com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lang w:val="zh-CN"/>
        </w:rPr>
      </w:pPr>
      <w:r>
        <w:rPr>
          <w:rFonts w:hint="eastAsia" w:ascii="仿宋" w:hAnsi="仿宋" w:eastAsia="仿宋" w:cs="仿宋"/>
          <w:color w:val="auto"/>
          <w:kern w:val="2"/>
          <w:sz w:val="24"/>
          <w:szCs w:val="24"/>
          <w:lang w:val="zh-CN" w:eastAsia="zh-CN"/>
        </w:rPr>
        <w:t>联系地址：惠州市惠城区鹅岭北路横街</w:t>
      </w:r>
      <w:r>
        <w:rPr>
          <w:rFonts w:hint="eastAsia" w:ascii="仿宋" w:hAnsi="仿宋" w:eastAsia="仿宋" w:cs="仿宋"/>
          <w:color w:val="auto"/>
          <w:kern w:val="2"/>
          <w:sz w:val="24"/>
          <w:szCs w:val="24"/>
          <w:lang w:val="en-US" w:eastAsia="zh-CN"/>
        </w:rPr>
        <w:t>12号</w:t>
      </w:r>
      <w:r>
        <w:rPr>
          <w:rFonts w:hint="eastAsia" w:ascii="仿宋" w:hAnsi="仿宋" w:eastAsia="仿宋" w:cs="仿宋"/>
          <w:color w:val="auto"/>
          <w:kern w:val="2"/>
          <w:sz w:val="24"/>
          <w:szCs w:val="24"/>
          <w:lang w:val="zh-CN" w:eastAsia="zh-CN"/>
        </w:rPr>
        <w:t xml:space="preserve"> </w:t>
      </w:r>
      <w:r>
        <w:rPr>
          <w:rFonts w:hint="eastAsia" w:ascii="仿宋" w:hAnsi="仿宋" w:eastAsia="仿宋" w:cs="仿宋"/>
          <w:color w:val="auto"/>
          <w:kern w:val="2"/>
          <w:sz w:val="24"/>
          <w:szCs w:val="24"/>
          <w:lang w:val="en-US" w:eastAsia="zh-CN"/>
        </w:rPr>
        <w:t xml:space="preserve">    </w:t>
      </w:r>
      <w:r>
        <w:rPr>
          <w:rFonts w:hint="eastAsia" w:ascii="仿宋" w:hAnsi="仿宋" w:eastAsia="仿宋" w:cs="仿宋"/>
          <w:color w:val="auto"/>
          <w:kern w:val="2"/>
          <w:sz w:val="24"/>
          <w:szCs w:val="24"/>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rPr>
      </w:pP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rPr>
      </w:pPr>
    </w:p>
    <w:p>
      <w:pPr>
        <w:keepNext w:val="0"/>
        <w:keepLines w:val="0"/>
        <w:pageBreakBefore w:val="0"/>
        <w:widowControl w:val="0"/>
        <w:kinsoku/>
        <w:wordWrap/>
        <w:overflowPunct/>
        <w:topLinePunct w:val="0"/>
        <w:bidi w:val="0"/>
        <w:adjustRightInd/>
        <w:snapToGrid/>
        <w:spacing w:line="360" w:lineRule="auto"/>
        <w:ind w:firstLine="5760" w:firstLineChars="2400"/>
        <w:jc w:val="left"/>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惠州市</w:t>
      </w:r>
      <w:r>
        <w:rPr>
          <w:rFonts w:hint="eastAsia" w:ascii="仿宋" w:hAnsi="仿宋" w:eastAsia="仿宋" w:cs="仿宋"/>
          <w:color w:val="auto"/>
          <w:kern w:val="2"/>
          <w:sz w:val="24"/>
          <w:szCs w:val="24"/>
          <w:lang w:eastAsia="zh-CN"/>
        </w:rPr>
        <w:t>职业病防治院</w:t>
      </w:r>
    </w:p>
    <w:p>
      <w:pPr>
        <w:keepNext w:val="0"/>
        <w:keepLines w:val="0"/>
        <w:pageBreakBefore w:val="0"/>
        <w:widowControl w:val="0"/>
        <w:kinsoku/>
        <w:wordWrap/>
        <w:overflowPunct/>
        <w:topLinePunct w:val="0"/>
        <w:bidi w:val="0"/>
        <w:adjustRightInd/>
        <w:snapToGrid/>
        <w:spacing w:line="360" w:lineRule="auto"/>
        <w:ind w:firstLine="6240" w:firstLineChars="2600"/>
        <w:jc w:val="left"/>
        <w:textAlignment w:val="auto"/>
        <w:rPr>
          <w:rFonts w:hint="eastAsia" w:ascii="仿宋" w:hAnsi="仿宋" w:eastAsia="仿宋" w:cs="仿宋"/>
          <w:b/>
          <w:color w:val="auto"/>
          <w:sz w:val="24"/>
          <w:szCs w:val="24"/>
          <w:lang w:eastAsia="zh-CN"/>
        </w:rPr>
      </w:pPr>
      <w:r>
        <w:rPr>
          <w:rFonts w:hint="eastAsia" w:ascii="仿宋" w:hAnsi="仿宋" w:eastAsia="仿宋" w:cs="仿宋"/>
          <w:color w:val="auto"/>
          <w:kern w:val="2"/>
          <w:sz w:val="24"/>
          <w:szCs w:val="24"/>
        </w:rPr>
        <w:t>202</w:t>
      </w:r>
      <w:r>
        <w:rPr>
          <w:rFonts w:hint="eastAsia" w:ascii="仿宋" w:hAnsi="仿宋" w:eastAsia="仿宋" w:cs="仿宋"/>
          <w:color w:val="auto"/>
          <w:kern w:val="2"/>
          <w:sz w:val="24"/>
          <w:szCs w:val="24"/>
          <w:lang w:val="en-US" w:eastAsia="zh-CN"/>
        </w:rPr>
        <w:t>6</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lang w:val="en-US" w:eastAsia="zh-CN"/>
        </w:rPr>
        <w:t xml:space="preserve">6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lang w:val="en-US" w:eastAsia="zh-CN"/>
        </w:rPr>
        <w:t>11</w:t>
      </w:r>
      <w:bookmarkStart w:id="30" w:name="_GoBack"/>
      <w:bookmarkEnd w:id="30"/>
      <w:r>
        <w:rPr>
          <w:rFonts w:hint="eastAsia" w:ascii="仿宋" w:hAnsi="仿宋" w:eastAsia="仿宋" w:cs="仿宋"/>
          <w:color w:val="auto"/>
          <w:kern w:val="2"/>
          <w:sz w:val="24"/>
          <w:szCs w:val="24"/>
          <w:lang w:val="en-US" w:eastAsia="zh-CN"/>
        </w:rPr>
        <w:t xml:space="preserve"> </w:t>
      </w:r>
      <w:r>
        <w:rPr>
          <w:rFonts w:hint="eastAsia" w:ascii="仿宋" w:hAnsi="仿宋" w:eastAsia="仿宋" w:cs="仿宋"/>
          <w:color w:val="auto"/>
          <w:kern w:val="2"/>
          <w:sz w:val="24"/>
          <w:szCs w:val="24"/>
        </w:rPr>
        <w:t>日</w:t>
      </w:r>
    </w:p>
    <w:p>
      <w:pPr>
        <w:keepNext w:val="0"/>
        <w:keepLines w:val="0"/>
        <w:pageBreakBefore w:val="0"/>
        <w:kinsoku/>
        <w:wordWrap/>
        <w:overflowPunct/>
        <w:topLinePunct w:val="0"/>
        <w:bidi w:val="0"/>
        <w:adjustRightInd/>
        <w:snapToGrid/>
        <w:spacing w:before="120" w:beforeLines="50" w:line="360" w:lineRule="auto"/>
        <w:ind w:firstLine="482" w:firstLineChars="200"/>
        <w:jc w:val="center"/>
        <w:rPr>
          <w:rFonts w:hint="eastAsia" w:ascii="宋体" w:hAnsi="宋体" w:eastAsia="方正小标宋简体" w:cs="宋体"/>
          <w:b w:val="0"/>
          <w:bCs/>
          <w:color w:val="auto"/>
          <w:kern w:val="0"/>
          <w:sz w:val="24"/>
          <w:szCs w:val="24"/>
          <w:lang w:eastAsia="zh-CN"/>
        </w:rPr>
      </w:pPr>
      <w:r>
        <w:rPr>
          <w:rFonts w:hint="eastAsia" w:ascii="宋体" w:hAnsi="宋体" w:eastAsia="宋体" w:cs="宋体"/>
          <w:b/>
          <w:color w:val="auto"/>
          <w:sz w:val="24"/>
          <w:szCs w:val="24"/>
        </w:rPr>
        <w:br w:type="page"/>
      </w:r>
      <w:r>
        <w:rPr>
          <w:rFonts w:hint="eastAsia" w:ascii="方正小标宋简体" w:hAnsi="方正小标宋简体" w:eastAsia="方正小标宋简体" w:cs="方正小标宋简体"/>
          <w:b w:val="0"/>
          <w:bCs/>
          <w:color w:val="auto"/>
          <w:kern w:val="0"/>
          <w:sz w:val="32"/>
          <w:szCs w:val="32"/>
        </w:rPr>
        <w:t>第二部分　采购项目内容</w:t>
      </w:r>
      <w:bookmarkStart w:id="2" w:name="_Toc269110539"/>
      <w:bookmarkStart w:id="3" w:name="_Toc278185127"/>
      <w:bookmarkStart w:id="4" w:name="_Toc269110600"/>
      <w:r>
        <w:rPr>
          <w:rFonts w:hint="eastAsia" w:ascii="方正小标宋简体" w:hAnsi="方正小标宋简体" w:eastAsia="方正小标宋简体" w:cs="方正小标宋简体"/>
          <w:b w:val="0"/>
          <w:bCs/>
          <w:color w:val="auto"/>
          <w:kern w:val="0"/>
          <w:sz w:val="32"/>
          <w:szCs w:val="32"/>
          <w:lang w:eastAsia="zh-CN"/>
        </w:rPr>
        <w:t>及需求</w:t>
      </w:r>
    </w:p>
    <w:bookmarkEnd w:id="2"/>
    <w:bookmarkEnd w:id="3"/>
    <w:bookmarkEnd w:id="4"/>
    <w:p>
      <w:pPr>
        <w:keepNext w:val="0"/>
        <w:keepLines w:val="0"/>
        <w:pageBreakBefore w:val="0"/>
        <w:kinsoku/>
        <w:wordWrap/>
        <w:overflowPunct/>
        <w:topLinePunct w:val="0"/>
        <w:bidi w:val="0"/>
        <w:adjustRightInd/>
        <w:snapToGrid/>
        <w:spacing w:line="360" w:lineRule="auto"/>
        <w:ind w:firstLine="482" w:firstLineChars="200"/>
        <w:rPr>
          <w:rFonts w:hint="eastAsia" w:ascii="宋体" w:hAnsi="宋体" w:eastAsia="宋体" w:cs="宋体"/>
          <w:b/>
          <w:bCs/>
          <w:color w:val="auto"/>
          <w:kern w:val="0"/>
          <w:sz w:val="24"/>
          <w:szCs w:val="24"/>
        </w:rPr>
      </w:pPr>
      <w:bookmarkStart w:id="5" w:name="_Toc263790353"/>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仿宋" w:hAnsi="仿宋" w:eastAsia="仿宋" w:cs="仿宋"/>
          <w:b/>
          <w:bCs/>
          <w:color w:val="auto"/>
          <w:kern w:val="2"/>
          <w:sz w:val="24"/>
          <w:szCs w:val="24"/>
          <w:highlight w:val="none"/>
          <w:lang w:val="zh-CN" w:eastAsia="zh-CN"/>
        </w:rPr>
      </w:pPr>
      <w:r>
        <w:rPr>
          <w:rFonts w:hint="eastAsia" w:ascii="仿宋" w:hAnsi="仿宋" w:eastAsia="仿宋" w:cs="仿宋"/>
          <w:b/>
          <w:bCs/>
          <w:color w:val="auto"/>
          <w:kern w:val="2"/>
          <w:sz w:val="24"/>
          <w:szCs w:val="24"/>
          <w:highlight w:val="none"/>
          <w:lang w:val="zh-CN" w:eastAsia="zh-CN"/>
        </w:rPr>
        <w:t>一、项目概况</w:t>
      </w:r>
      <w:bookmarkEnd w:id="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zh-CN" w:eastAsia="zh-CN"/>
        </w:rPr>
        <w:t>（一）项目名称：惠州市职业病防治院采购代理机构遴选项目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zh-CN" w:eastAsia="zh-CN"/>
        </w:rPr>
      </w:pPr>
      <w:r>
        <w:rPr>
          <w:rFonts w:hint="eastAsia" w:ascii="仿宋" w:hAnsi="仿宋" w:eastAsia="仿宋" w:cs="仿宋"/>
          <w:color w:val="auto"/>
          <w:kern w:val="2"/>
          <w:sz w:val="24"/>
          <w:szCs w:val="24"/>
          <w:highlight w:val="none"/>
          <w:lang w:val="zh-CN" w:eastAsia="zh-CN"/>
        </w:rPr>
        <w:t>（二）项目编号： ZFY-BX-20260601</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zh-CN" w:eastAsia="zh-CN"/>
        </w:rPr>
      </w:pPr>
      <w:r>
        <w:rPr>
          <w:rFonts w:hint="eastAsia" w:ascii="仿宋" w:hAnsi="仿宋" w:eastAsia="仿宋" w:cs="仿宋"/>
          <w:color w:val="auto"/>
          <w:kern w:val="2"/>
          <w:sz w:val="24"/>
          <w:szCs w:val="24"/>
          <w:highlight w:val="none"/>
          <w:lang w:val="en-US" w:eastAsia="zh-CN"/>
        </w:rPr>
        <w:t>（三）</w:t>
      </w:r>
      <w:r>
        <w:rPr>
          <w:rFonts w:hint="eastAsia" w:ascii="仿宋" w:hAnsi="仿宋" w:eastAsia="仿宋" w:cs="仿宋"/>
          <w:color w:val="auto"/>
          <w:kern w:val="2"/>
          <w:sz w:val="24"/>
          <w:szCs w:val="24"/>
          <w:highlight w:val="none"/>
          <w:lang w:val="zh-CN"/>
        </w:rPr>
        <w:t>项目</w:t>
      </w:r>
      <w:r>
        <w:rPr>
          <w:rFonts w:hint="eastAsia" w:ascii="仿宋" w:hAnsi="仿宋" w:eastAsia="仿宋" w:cs="仿宋"/>
          <w:color w:val="auto"/>
          <w:kern w:val="2"/>
          <w:sz w:val="24"/>
          <w:szCs w:val="24"/>
          <w:highlight w:val="none"/>
          <w:lang w:val="en-US" w:eastAsia="zh-CN"/>
        </w:rPr>
        <w:t>预算</w:t>
      </w:r>
      <w:r>
        <w:rPr>
          <w:rFonts w:hint="eastAsia" w:ascii="仿宋" w:hAnsi="仿宋" w:eastAsia="仿宋" w:cs="仿宋"/>
          <w:color w:val="auto"/>
          <w:kern w:val="2"/>
          <w:sz w:val="24"/>
          <w:szCs w:val="24"/>
          <w:highlight w:val="none"/>
          <w:lang w:val="zh-CN"/>
        </w:rPr>
        <w:t>：</w:t>
      </w:r>
      <w:r>
        <w:rPr>
          <w:rFonts w:hint="eastAsia" w:ascii="仿宋" w:hAnsi="仿宋" w:eastAsia="仿宋" w:cs="仿宋"/>
          <w:kern w:val="0"/>
          <w:sz w:val="24"/>
          <w:szCs w:val="24"/>
          <w:lang w:val="en-US" w:eastAsia="zh-CN" w:bidi="ar-SA"/>
        </w:rPr>
        <w:t>本项目无具体预算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zh-CN" w:eastAsia="zh-CN"/>
        </w:rPr>
      </w:pPr>
      <w:r>
        <w:rPr>
          <w:rFonts w:hint="eastAsia" w:ascii="仿宋" w:hAnsi="仿宋" w:eastAsia="仿宋" w:cs="仿宋"/>
          <w:color w:val="auto"/>
          <w:kern w:val="2"/>
          <w:sz w:val="24"/>
          <w:szCs w:val="24"/>
          <w:highlight w:val="none"/>
          <w:lang w:val="en-US" w:eastAsia="zh-CN"/>
        </w:rPr>
        <w:t xml:space="preserve">（四）服务期限：两年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zh-CN" w:eastAsia="zh-CN"/>
        </w:rPr>
      </w:pPr>
      <w:r>
        <w:rPr>
          <w:rFonts w:hint="eastAsia" w:ascii="仿宋" w:hAnsi="仿宋" w:eastAsia="仿宋" w:cs="仿宋"/>
          <w:color w:val="auto"/>
          <w:kern w:val="2"/>
          <w:sz w:val="24"/>
          <w:szCs w:val="24"/>
          <w:highlight w:val="none"/>
          <w:lang w:val="zh-CN" w:eastAsia="zh-CN"/>
        </w:rPr>
        <w:t>（</w:t>
      </w:r>
      <w:r>
        <w:rPr>
          <w:rFonts w:hint="eastAsia" w:ascii="仿宋" w:hAnsi="仿宋" w:eastAsia="仿宋" w:cs="仿宋"/>
          <w:color w:val="auto"/>
          <w:kern w:val="2"/>
          <w:sz w:val="24"/>
          <w:szCs w:val="24"/>
          <w:highlight w:val="none"/>
          <w:lang w:val="en-US" w:eastAsia="zh-CN"/>
        </w:rPr>
        <w:t>五</w:t>
      </w:r>
      <w:r>
        <w:rPr>
          <w:rFonts w:hint="eastAsia" w:ascii="仿宋" w:hAnsi="仿宋" w:eastAsia="仿宋" w:cs="仿宋"/>
          <w:color w:val="auto"/>
          <w:kern w:val="2"/>
          <w:sz w:val="24"/>
          <w:szCs w:val="24"/>
          <w:highlight w:val="none"/>
          <w:lang w:val="zh-CN" w:eastAsia="zh-CN"/>
        </w:rPr>
        <w:t>）采购方式：院内比选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六</w:t>
      </w:r>
      <w:r>
        <w:rPr>
          <w:rFonts w:hint="eastAsia" w:ascii="仿宋" w:hAnsi="仿宋" w:eastAsia="仿宋" w:cs="仿宋"/>
          <w:color w:val="auto"/>
          <w:kern w:val="2"/>
          <w:sz w:val="24"/>
          <w:szCs w:val="24"/>
          <w:highlight w:val="none"/>
          <w:lang w:eastAsia="zh-CN"/>
        </w:rPr>
        <w:t>）项目</w:t>
      </w:r>
      <w:r>
        <w:rPr>
          <w:rFonts w:hint="eastAsia" w:ascii="仿宋" w:hAnsi="仿宋" w:eastAsia="仿宋" w:cs="仿宋"/>
          <w:color w:val="auto"/>
          <w:kern w:val="2"/>
          <w:sz w:val="24"/>
          <w:szCs w:val="24"/>
          <w:highlight w:val="none"/>
          <w:lang w:val="en-US" w:eastAsia="zh-CN"/>
        </w:rPr>
        <w:t>范围及服务</w:t>
      </w:r>
      <w:r>
        <w:rPr>
          <w:rFonts w:hint="eastAsia" w:ascii="仿宋" w:hAnsi="仿宋" w:eastAsia="仿宋" w:cs="仿宋"/>
          <w:color w:val="auto"/>
          <w:kern w:val="2"/>
          <w:sz w:val="24"/>
          <w:szCs w:val="24"/>
          <w:highlight w:val="none"/>
          <w:lang w:eastAsia="zh-CN"/>
        </w:rPr>
        <w:t>内容</w:t>
      </w:r>
    </w:p>
    <w:p>
      <w:pPr>
        <w:pStyle w:val="3"/>
        <w:adjustRightInd w:val="0"/>
        <w:snapToGrid w:val="0"/>
        <w:spacing w:before="0" w:after="0" w:line="360" w:lineRule="auto"/>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委托范围：本项目为惠州市职业病防治院采购代理机构遴选项目，需确定六家中选供应商，为本院依法提供可委托给社会代理机构代理采购的货物、工程和服务的采购活动（包括但不限于公开招标、非公开招标采购、市场调研、专家论证等）。具体详见采购项目内容及需求。</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主要包括项目咨询及策划，需求调研，提供招标前编制、送审备案采购招标文件、组织专家论证，负责招标文件相关的澄清、修改，公告上网，根据需要组织投标单位现场踏勘，协助组织抽取评标专家、开标和评标，协助办理中标手续，协助招标人草拟及商签合同，整理移交项目全套档案、处理质疑投诉等招标相关业务，主要包括以下内容：</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1.提供与采购业务相关的法律法规及政策文件咨询。</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2.提供采购项目代理服务及相关工作的咨询服务，如驻场指导、采购需求及实施计划编制指导、辅助项目前期申报、全流程业务咨询及辅助项目验收等。</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3.审核采购人需求，在不违反法律法规文件规定的前提下采纳采购人的意见，对不合法、不合规、不合理的需求提出修改建议。</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4.配合采购人开展必要的采购需求论证、招标采购文件会商等，确保采购需求中载明的资格条件、技术、服务、安全等要求符合招标采购法律法规以及相关政策的规定。</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5.依法编制采购文件，发布采购公告、采购文件，组织接收响应供应商报名及接收申请资料，审查响应供应商报名资格。</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6.严格落实国家、省、市及采购人关于采购信息公开的相关要求，在采购活动相关环节中及时、准确地将规定内容通过指定信息发布平台向社会公开。</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7.协助采购人严格做好供应商资格审查工作，依据政府采购相关法律法规及政策要求，核查供应商之间是否存在控股、管理等利益关联关系，防范围标串标等非法违规行为。</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8.根据项目需要依法组织现场踏勘、协助处理对采购文件的答疑及整理答疑文件，及时发布答疑澄清公告。</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9.根据项目需要组织专家就采购需求、供应商资质条件、招标采购文件、质疑(异议)/投诉等进行核查、论证。</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10.依法依规组建评审委员会(根据不同采购方式组建评审委员会或招标/谈判/磋商/询价小组)，规范组织开展评审活动。</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11.接收投标/响应文件，落实评审场地，依法组织招标采购活动并出具评审报告，按规定发放专家评审劳务报酬。</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12.开标及评审活动至少有2名工作人员全程参与，并形成清晰可辨的录音录像和全程可追溯的文字记录。</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13.评审完成后，尽快将招标采购结果反馈给采购人。</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14.负责接收质疑并按期回复，协助采购人处理投诉及履约纠纷。收到任何询问、质疑(异议)、投诉应及时与采购人沟通。如有需要，组织专家协助处理。</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15.经采购人确认后，依法发布评审结果公示（公告），发出中标（成交）通知书，编制招投标情况书面报告，协助采购人签订采购合同。</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16.及时将采购项目的全过程资料整理、复核、汇编，并移交采购人，资料内容须完整、清晰、表述准确、装订规范。</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17.配合做好采购人或相关部门的监管工作，出具需要的说明材料，提供相应资料。</w:t>
      </w:r>
    </w:p>
    <w:p>
      <w:pPr>
        <w:widowControl/>
        <w:shd w:val="clear" w:color="auto" w:fill="auto"/>
        <w:kinsoku/>
        <w:wordWrap w:val="0"/>
        <w:overflowPunct/>
        <w:topLinePunct w:val="0"/>
        <w:bidi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18.处理与招标采购工作有关的其他事宜。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zh-CN"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七</w:t>
      </w:r>
      <w:r>
        <w:rPr>
          <w:rFonts w:hint="eastAsia" w:ascii="仿宋" w:hAnsi="仿宋" w:eastAsia="仿宋" w:cs="仿宋"/>
          <w:color w:val="auto"/>
          <w:kern w:val="2"/>
          <w:sz w:val="24"/>
          <w:szCs w:val="24"/>
          <w:highlight w:val="none"/>
          <w:lang w:val="zh-CN" w:eastAsia="zh-CN"/>
        </w:rPr>
        <w:t>）有效报价要求</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kern w:val="0"/>
          <w:sz w:val="24"/>
          <w:szCs w:val="24"/>
          <w:lang w:val="en-US" w:eastAsia="zh-CN" w:bidi="ar"/>
        </w:rPr>
        <w:t>按《招标代理服务收费管理暂行办法》（计价格〔2002〕1980号）标准计算后按下浮率报价，下浮率指对</w:t>
      </w:r>
      <w:r>
        <w:rPr>
          <w:rFonts w:hint="eastAsia" w:ascii="仿宋" w:hAnsi="仿宋" w:eastAsia="仿宋" w:cs="仿宋"/>
          <w:kern w:val="0"/>
          <w:sz w:val="24"/>
          <w:szCs w:val="24"/>
          <w:highlight w:val="none"/>
          <w:lang w:val="en-US" w:eastAsia="zh-CN" w:bidi="ar"/>
        </w:rPr>
        <w:t>上述基准收费标准的降低比率；</w:t>
      </w:r>
      <w:r>
        <w:rPr>
          <w:rFonts w:hint="eastAsia" w:ascii="仿宋" w:hAnsi="仿宋" w:eastAsia="仿宋" w:cs="仿宋"/>
          <w:b/>
          <w:bCs/>
          <w:color w:val="auto"/>
          <w:kern w:val="0"/>
          <w:sz w:val="24"/>
          <w:szCs w:val="24"/>
          <w:highlight w:val="none"/>
          <w:lang w:val="en-US" w:eastAsia="zh-CN" w:bidi="ar"/>
        </w:rPr>
        <w:t>为避免恶意低价中选，代理机构所报下浮率须≤30%，下浮率＞30%则报价无效，将导致响应无效；下浮率为整数百分比（如：1%、2%、5%、10%、15%）；</w:t>
      </w:r>
      <w:r>
        <w:rPr>
          <w:rFonts w:hint="eastAsia" w:ascii="仿宋" w:hAnsi="仿宋" w:eastAsia="仿宋" w:cs="仿宋"/>
          <w:b/>
          <w:bCs/>
          <w:color w:val="auto"/>
          <w:sz w:val="24"/>
          <w:highlight w:val="none"/>
          <w:lang w:val="en-US" w:eastAsia="zh-CN"/>
        </w:rPr>
        <w:t>本项目不设最低、最高服务费，统一按照代理服务费标准收取。</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2.代理服务收取按《招标代理服务收费管理暂行办法》（计价格〔2002〕1980号）及《国家发展改革委办公厅关于招标代理服务收费有关问题的通知》（发改办价格〔2003〕857 号）标准计算（原价），最终收费=原价*（1-下浮率）。</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代理服务费用涵盖提供采购项目采购代理全过程服务中发生的一切费用，包括采购文件、评审文件等所有资料的打印、复印、装订，各代理协议中涉及的专家劳务费用等代理实施采购项目全过程服务所涉及的全部费用。</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4.代理服务费由代理机构向各项目中标供应商收取，采购人不再另行支付其他费用。如遇特殊情况，经双方协商一致后根据协商结果进行收费。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zh-CN" w:eastAsia="zh-CN"/>
        </w:rPr>
      </w:pPr>
      <w:r>
        <w:rPr>
          <w:rFonts w:hint="eastAsia" w:ascii="仿宋" w:hAnsi="仿宋" w:eastAsia="仿宋" w:cs="仿宋"/>
          <w:sz w:val="24"/>
          <w:szCs w:val="24"/>
          <w:lang w:val="en-US" w:eastAsia="zh-CN"/>
        </w:rPr>
        <w:t>5.依法依规收取代理服务费用，不变相或额外向采购人、潜在供应商、投标供应商、中标供应商等收取除代理服务费用以外的其他费用（法律法规及上级文件规定允许的除外）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val="en-US" w:eastAsia="zh-CN"/>
        </w:rPr>
        <w:t>6.</w:t>
      </w:r>
      <w:r>
        <w:rPr>
          <w:rFonts w:hint="eastAsia" w:ascii="仿宋" w:hAnsi="仿宋" w:eastAsia="仿宋" w:cs="仿宋"/>
          <w:color w:val="auto"/>
          <w:kern w:val="2"/>
          <w:sz w:val="24"/>
          <w:szCs w:val="24"/>
          <w:lang w:val="zh-CN" w:eastAsia="zh-CN"/>
        </w:rPr>
        <w:t>无效的响应报价将作无效投选处理。（</w:t>
      </w:r>
      <w:r>
        <w:rPr>
          <w:rFonts w:hint="eastAsia" w:ascii="仿宋" w:hAnsi="仿宋" w:eastAsia="仿宋" w:cs="仿宋"/>
          <w:color w:val="auto"/>
          <w:kern w:val="2"/>
          <w:sz w:val="24"/>
          <w:szCs w:val="24"/>
          <w:lang w:val="en-US" w:eastAsia="zh-CN"/>
        </w:rPr>
        <w:t>1）</w:t>
      </w:r>
      <w:r>
        <w:rPr>
          <w:rFonts w:hint="eastAsia" w:ascii="仿宋" w:hAnsi="仿宋" w:eastAsia="仿宋" w:cs="仿宋"/>
          <w:color w:val="auto"/>
          <w:kern w:val="2"/>
          <w:sz w:val="24"/>
          <w:szCs w:val="24"/>
          <w:lang w:val="zh-CN" w:eastAsia="zh-CN"/>
        </w:rPr>
        <w:t>比选供应商报价，评选委小组认为有可能影响产品质量或者不能诚信履约的，应当要求其在评选现场合理的时间内提供书面说明和产品成本清单，必要时提交相关证明材料；比选供应商不能证明其报价合理性的，评选委员会应当将其作为无效投选处理。（</w:t>
      </w:r>
      <w:r>
        <w:rPr>
          <w:rFonts w:hint="eastAsia" w:ascii="仿宋" w:hAnsi="仿宋" w:eastAsia="仿宋" w:cs="仿宋"/>
          <w:color w:val="auto"/>
          <w:kern w:val="2"/>
          <w:sz w:val="24"/>
          <w:szCs w:val="24"/>
          <w:lang w:val="en-US" w:eastAsia="zh-CN"/>
        </w:rPr>
        <w:t>2）</w:t>
      </w:r>
      <w:r>
        <w:rPr>
          <w:rFonts w:hint="eastAsia" w:ascii="仿宋" w:hAnsi="仿宋" w:eastAsia="仿宋" w:cs="仿宋"/>
          <w:color w:val="auto"/>
          <w:kern w:val="2"/>
          <w:sz w:val="24"/>
          <w:szCs w:val="24"/>
          <w:lang w:val="zh-CN" w:eastAsia="zh-CN"/>
        </w:rPr>
        <w:t>报价不得高于预算价格，高于按响应无效处理。</w:t>
      </w:r>
    </w:p>
    <w:p>
      <w:pPr>
        <w:pStyle w:val="82"/>
        <w:spacing w:line="360" w:lineRule="auto"/>
        <w:ind w:firstLine="482" w:firstLineChars="200"/>
        <w:jc w:val="both"/>
        <w:rPr>
          <w:rFonts w:ascii="仿宋" w:hAnsi="仿宋" w:eastAsia="仿宋" w:cs="仿宋"/>
          <w:b/>
          <w:bCs/>
          <w:color w:val="auto"/>
          <w:kern w:val="2"/>
          <w:sz w:val="24"/>
          <w:szCs w:val="24"/>
          <w:lang w:val="zh-CN" w:eastAsia="zh-CN" w:bidi="ar-SA"/>
        </w:rPr>
      </w:pPr>
      <w:r>
        <w:rPr>
          <w:rFonts w:ascii="仿宋" w:hAnsi="仿宋" w:eastAsia="仿宋" w:cs="仿宋"/>
          <w:b/>
          <w:bCs/>
          <w:color w:val="auto"/>
          <w:kern w:val="2"/>
          <w:sz w:val="24"/>
          <w:szCs w:val="24"/>
          <w:lang w:val="zh-CN" w:eastAsia="zh-CN" w:bidi="ar-SA"/>
        </w:rPr>
        <w:t>【注：依据《关于推动解决政府采购异常低价问题的通知》（财库〔2026〕2号）的规定，政府采购评审中出现下列情形之一的，评审委员会应当启动异常低价投标（响应）审查程序：</w:t>
      </w:r>
    </w:p>
    <w:p>
      <w:pPr>
        <w:pStyle w:val="82"/>
        <w:spacing w:line="360" w:lineRule="auto"/>
        <w:ind w:firstLine="640"/>
        <w:jc w:val="both"/>
        <w:rPr>
          <w:rFonts w:ascii="仿宋" w:hAnsi="仿宋" w:eastAsia="仿宋" w:cs="仿宋"/>
          <w:b/>
          <w:bCs/>
          <w:color w:val="auto"/>
          <w:kern w:val="2"/>
          <w:sz w:val="24"/>
          <w:szCs w:val="24"/>
          <w:lang w:val="zh-CN" w:eastAsia="zh-CN" w:bidi="ar-SA"/>
        </w:rPr>
      </w:pPr>
      <w:r>
        <w:rPr>
          <w:rFonts w:ascii="仿宋" w:hAnsi="仿宋" w:eastAsia="仿宋" w:cs="仿宋"/>
          <w:b/>
          <w:bCs/>
          <w:color w:val="auto"/>
          <w:kern w:val="2"/>
          <w:sz w:val="24"/>
          <w:szCs w:val="24"/>
          <w:lang w:val="zh-CN" w:eastAsia="zh-CN" w:bidi="ar-SA"/>
        </w:rPr>
        <w:t>1）投标（响应）报价低于全部通过符合性审查供应商投标（响应）报价平均值50%的，即投标（响应）报价&lt;全部通过符合性审查供应商投标（响应）报价平均值×50%；</w:t>
      </w:r>
    </w:p>
    <w:p>
      <w:pPr>
        <w:pStyle w:val="82"/>
        <w:spacing w:line="360" w:lineRule="auto"/>
        <w:ind w:firstLine="640"/>
        <w:jc w:val="both"/>
        <w:rPr>
          <w:rFonts w:ascii="仿宋" w:hAnsi="仿宋" w:eastAsia="仿宋" w:cs="仿宋"/>
          <w:b/>
          <w:bCs/>
          <w:color w:val="auto"/>
          <w:kern w:val="2"/>
          <w:sz w:val="24"/>
          <w:szCs w:val="24"/>
          <w:lang w:val="zh-CN" w:eastAsia="zh-CN" w:bidi="ar-SA"/>
        </w:rPr>
      </w:pPr>
      <w:r>
        <w:rPr>
          <w:rFonts w:ascii="仿宋" w:hAnsi="仿宋" w:eastAsia="仿宋" w:cs="仿宋"/>
          <w:b/>
          <w:bCs/>
          <w:color w:val="auto"/>
          <w:kern w:val="2"/>
          <w:sz w:val="24"/>
          <w:szCs w:val="24"/>
          <w:lang w:val="zh-CN" w:eastAsia="zh-CN" w:bidi="ar-SA"/>
        </w:rPr>
        <w:t>2）投标（响应）报价低于通过符合性审查的次低报价供应商投标（响应）报价50%的，即投标（响应）报价&lt;通过符合性审查的次低报价供应商投标（响应）报价×50%；</w:t>
      </w:r>
    </w:p>
    <w:p>
      <w:pPr>
        <w:pStyle w:val="82"/>
        <w:spacing w:line="360" w:lineRule="auto"/>
        <w:ind w:firstLine="640"/>
        <w:jc w:val="both"/>
        <w:rPr>
          <w:rFonts w:ascii="仿宋" w:hAnsi="仿宋" w:eastAsia="仿宋" w:cs="仿宋"/>
          <w:b/>
          <w:bCs/>
          <w:color w:val="auto"/>
          <w:kern w:val="2"/>
          <w:sz w:val="24"/>
          <w:szCs w:val="24"/>
          <w:lang w:val="zh-CN" w:eastAsia="zh-CN" w:bidi="ar-SA"/>
        </w:rPr>
      </w:pPr>
      <w:r>
        <w:rPr>
          <w:rFonts w:ascii="仿宋" w:hAnsi="仿宋" w:eastAsia="仿宋" w:cs="仿宋"/>
          <w:b/>
          <w:bCs/>
          <w:color w:val="auto"/>
          <w:kern w:val="2"/>
          <w:sz w:val="24"/>
          <w:szCs w:val="24"/>
          <w:lang w:val="zh-CN" w:eastAsia="zh-CN" w:bidi="ar-SA"/>
        </w:rPr>
        <w:t>3）投标（响应）报价低于采购项目最高限价45%的，即投标（响应）报价&lt;采购项目最高限价×45%；</w:t>
      </w:r>
    </w:p>
    <w:p>
      <w:pPr>
        <w:pStyle w:val="82"/>
        <w:spacing w:line="360" w:lineRule="auto"/>
        <w:ind w:firstLine="640"/>
        <w:jc w:val="both"/>
        <w:rPr>
          <w:rFonts w:ascii="仿宋" w:hAnsi="仿宋" w:eastAsia="仿宋" w:cs="仿宋"/>
          <w:b/>
          <w:bCs/>
          <w:color w:val="auto"/>
          <w:kern w:val="2"/>
          <w:sz w:val="24"/>
          <w:szCs w:val="24"/>
          <w:lang w:val="zh-CN" w:eastAsia="zh-CN" w:bidi="ar-SA"/>
        </w:rPr>
      </w:pPr>
      <w:r>
        <w:rPr>
          <w:rFonts w:ascii="仿宋" w:hAnsi="仿宋" w:eastAsia="仿宋" w:cs="仿宋"/>
          <w:b/>
          <w:bCs/>
          <w:color w:val="auto"/>
          <w:kern w:val="2"/>
          <w:sz w:val="24"/>
          <w:szCs w:val="24"/>
          <w:lang w:val="zh-CN" w:eastAsia="zh-CN" w:bidi="ar-SA"/>
        </w:rPr>
        <w:t>4）评审委员会基于专业判断，认为供应商报价过低，有可能影响产品质量或者不能诚信履约的其他情形。</w:t>
      </w:r>
    </w:p>
    <w:p>
      <w:pPr>
        <w:pStyle w:val="82"/>
        <w:spacing w:after="120" w:line="360" w:lineRule="auto"/>
        <w:ind w:firstLine="482"/>
        <w:jc w:val="both"/>
        <w:rPr>
          <w:rFonts w:ascii="仿宋" w:hAnsi="仿宋" w:eastAsia="仿宋" w:cs="仿宋"/>
          <w:color w:val="auto"/>
          <w:kern w:val="2"/>
          <w:sz w:val="24"/>
          <w:szCs w:val="24"/>
          <w:lang w:val="zh-CN" w:eastAsia="zh-CN" w:bidi="ar-SA"/>
        </w:rPr>
      </w:pPr>
      <w:r>
        <w:rPr>
          <w:rFonts w:ascii="仿宋" w:hAnsi="仿宋" w:eastAsia="仿宋" w:cs="仿宋"/>
          <w:b/>
          <w:bCs/>
          <w:color w:val="auto"/>
          <w:kern w:val="2"/>
          <w:sz w:val="24"/>
          <w:szCs w:val="24"/>
          <w:lang w:val="zh-CN"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rPr>
      </w:pPr>
      <w:r>
        <w:rPr>
          <w:rFonts w:hint="eastAsia" w:ascii="仿宋" w:hAnsi="仿宋" w:eastAsia="仿宋" w:cs="仿宋"/>
          <w:color w:val="auto"/>
          <w:kern w:val="2"/>
          <w:sz w:val="24"/>
          <w:szCs w:val="24"/>
          <w:lang w:val="en-US" w:eastAsia="zh-CN"/>
        </w:rPr>
        <w:t>7.报价方式：以</w:t>
      </w:r>
      <w:r>
        <w:rPr>
          <w:rFonts w:hint="eastAsia" w:ascii="仿宋" w:hAnsi="仿宋" w:eastAsia="仿宋" w:cs="仿宋"/>
          <w:color w:val="auto"/>
          <w:kern w:val="2"/>
          <w:sz w:val="24"/>
          <w:szCs w:val="24"/>
          <w:lang w:val="en-US" w:eastAsia="zh-CN" w:bidi="ar"/>
        </w:rPr>
        <w:t>下浮率报价</w:t>
      </w:r>
      <w:r>
        <w:rPr>
          <w:rFonts w:hint="eastAsia" w:ascii="仿宋" w:hAnsi="仿宋" w:eastAsia="仿宋" w:cs="仿宋"/>
          <w:color w:val="auto"/>
          <w:sz w:val="24"/>
        </w:rPr>
        <w:t>进行报价。</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报价是唯一确定且不高于本项目采购预算和最高限价（如有），否则为无效</w:t>
      </w:r>
      <w:r>
        <w:rPr>
          <w:rFonts w:hint="eastAsia" w:ascii="仿宋" w:hAnsi="仿宋" w:eastAsia="仿宋" w:cs="仿宋"/>
          <w:color w:val="auto"/>
          <w:sz w:val="24"/>
          <w:lang w:val="en-US" w:eastAsia="zh-CN"/>
        </w:rPr>
        <w:t>响应</w:t>
      </w:r>
      <w:r>
        <w:rPr>
          <w:rFonts w:hint="eastAsia" w:ascii="仿宋" w:hAnsi="仿宋" w:eastAsia="仿宋" w:cs="仿宋"/>
          <w:color w:val="auto"/>
          <w:kern w:val="2"/>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仿宋" w:hAnsi="仿宋" w:eastAsia="仿宋" w:cs="仿宋"/>
          <w:b/>
          <w:bCs/>
          <w:color w:val="auto"/>
          <w:kern w:val="2"/>
          <w:sz w:val="24"/>
          <w:szCs w:val="24"/>
          <w:highlight w:val="none"/>
          <w:lang w:val="zh-CN" w:eastAsia="zh-CN"/>
        </w:rPr>
      </w:pPr>
      <w:r>
        <w:rPr>
          <w:rFonts w:hint="eastAsia" w:ascii="仿宋" w:hAnsi="仿宋" w:eastAsia="仿宋" w:cs="仿宋"/>
          <w:b/>
          <w:bCs/>
          <w:color w:val="auto"/>
          <w:kern w:val="2"/>
          <w:sz w:val="24"/>
          <w:szCs w:val="24"/>
          <w:highlight w:val="none"/>
          <w:lang w:val="zh-CN" w:eastAsia="zh-CN"/>
        </w:rPr>
        <w:t>二、商务及参数技术要求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（一）商务要求：</w:t>
      </w:r>
    </w:p>
    <w:tbl>
      <w:tblPr>
        <w:tblStyle w:val="31"/>
        <w:tblW w:w="501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272"/>
        <w:gridCol w:w="7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68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1.服务周期</w:t>
            </w:r>
          </w:p>
        </w:tc>
        <w:tc>
          <w:tcPr>
            <w:tcW w:w="4310" w:type="pct"/>
            <w:noWrap w:val="0"/>
            <w:vAlign w:val="center"/>
          </w:tcPr>
          <w:p>
            <w:pPr>
              <w:keepNext w:val="0"/>
              <w:keepLines w:val="0"/>
              <w:widowControl/>
              <w:suppressLineNumbers w:val="0"/>
              <w:spacing w:before="0" w:beforeAutospacing="0" w:after="0" w:afterAutospacing="0" w:line="360" w:lineRule="auto"/>
              <w:ind w:left="0" w:right="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自合同签定之日起两年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93" w:hRule="atLeast"/>
          <w:jc w:val="center"/>
        </w:trPr>
        <w:tc>
          <w:tcPr>
            <w:tcW w:w="689" w:type="pct"/>
            <w:noWrap w:val="0"/>
            <w:vAlign w:val="center"/>
          </w:tcPr>
          <w:p>
            <w:pPr>
              <w:pStyle w:val="83"/>
              <w:keepNext w:val="0"/>
              <w:keepLines w:val="0"/>
              <w:pageBreakBefore w:val="0"/>
              <w:widowControl/>
              <w:suppressLineNumbers w:val="0"/>
              <w:kinsoku w:val="0"/>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2.报价要求</w:t>
            </w:r>
          </w:p>
          <w:p>
            <w:pPr>
              <w:pStyle w:val="83"/>
              <w:keepNext w:val="0"/>
              <w:keepLines w:val="0"/>
              <w:pageBreakBefore w:val="0"/>
              <w:widowControl/>
              <w:suppressLineNumbers w:val="0"/>
              <w:kinsoku w:val="0"/>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color w:val="000000"/>
                <w:sz w:val="24"/>
                <w:szCs w:val="24"/>
              </w:rPr>
            </w:pPr>
          </w:p>
        </w:tc>
        <w:tc>
          <w:tcPr>
            <w:tcW w:w="4310" w:type="pct"/>
            <w:noWrap w:val="0"/>
            <w:vAlign w:val="top"/>
          </w:tcPr>
          <w:p>
            <w:pPr>
              <w:keepNext w:val="0"/>
              <w:keepLines w:val="0"/>
              <w:widowControl/>
              <w:suppressLineNumbers w:val="0"/>
              <w:spacing w:before="0" w:beforeAutospacing="0" w:after="0" w:afterAutospacing="0" w:line="360" w:lineRule="auto"/>
              <w:ind w:left="0" w:right="0" w:firstLine="480" w:firstLineChars="200"/>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kern w:val="0"/>
                <w:sz w:val="24"/>
                <w:szCs w:val="24"/>
                <w:lang w:val="en-US" w:eastAsia="zh-CN" w:bidi="ar"/>
              </w:rPr>
              <w:t>按《招标代理服务收费管理暂行办法》（计价格〔2002〕1980号）标准计算后按下浮率报价，下浮率指对</w:t>
            </w:r>
            <w:r>
              <w:rPr>
                <w:rFonts w:hint="eastAsia" w:ascii="仿宋" w:hAnsi="仿宋" w:eastAsia="仿宋" w:cs="仿宋"/>
                <w:kern w:val="0"/>
                <w:sz w:val="24"/>
                <w:szCs w:val="24"/>
                <w:highlight w:val="none"/>
                <w:lang w:val="en-US" w:eastAsia="zh-CN" w:bidi="ar"/>
              </w:rPr>
              <w:t>上述基准收费标准的降低比率；</w:t>
            </w:r>
            <w:r>
              <w:rPr>
                <w:rFonts w:hint="eastAsia" w:ascii="仿宋" w:hAnsi="仿宋" w:eastAsia="仿宋" w:cs="仿宋"/>
                <w:b/>
                <w:bCs/>
                <w:color w:val="auto"/>
                <w:kern w:val="0"/>
                <w:sz w:val="24"/>
                <w:szCs w:val="24"/>
                <w:highlight w:val="none"/>
                <w:lang w:val="en-US" w:eastAsia="zh-CN" w:bidi="ar"/>
              </w:rPr>
              <w:t>为避免恶意低价中选，代理机构所报下浮率须≤30%，下浮率＞30%则报价无效，将导致响应无效；下浮率为整数百分比（如：1%、2%、5%、10%、15%）；</w:t>
            </w:r>
            <w:r>
              <w:rPr>
                <w:rFonts w:hint="eastAsia" w:ascii="仿宋" w:hAnsi="仿宋" w:eastAsia="仿宋" w:cs="仿宋"/>
                <w:b/>
                <w:bCs/>
                <w:color w:val="auto"/>
                <w:sz w:val="24"/>
                <w:highlight w:val="none"/>
                <w:lang w:val="en-US" w:eastAsia="zh-CN"/>
              </w:rPr>
              <w:t>本项目不设最低、最高服务费，统一按照代理服务费标准收取。</w:t>
            </w:r>
          </w:p>
          <w:p>
            <w:pPr>
              <w:keepNext w:val="0"/>
              <w:keepLines w:val="0"/>
              <w:widowControl/>
              <w:suppressLineNumbers w:val="0"/>
              <w:spacing w:before="0" w:beforeAutospacing="0" w:after="0" w:afterAutospacing="0" w:line="360" w:lineRule="auto"/>
              <w:ind w:left="0" w:right="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2.代理服务收取按《招标代理服务收费管理暂行办法》（计价格〔2002〕1980号）及《国家发展改革委办公厅关于招标代理服务收费有关问题的通知》（发改办价格〔2003〕857 号）标准计算（原价），最终收费=原价*（1-下浮率）。</w:t>
            </w:r>
          </w:p>
          <w:p>
            <w:pPr>
              <w:keepNext w:val="0"/>
              <w:keepLines w:val="0"/>
              <w:widowControl/>
              <w:suppressLineNumbers w:val="0"/>
              <w:spacing w:before="0" w:beforeAutospacing="0" w:after="0" w:afterAutospacing="0" w:line="360" w:lineRule="auto"/>
              <w:ind w:left="0" w:right="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代理服务费用涵盖提供采购项目采购代理全过程服务中发生的一切费用，包括采购文件、评审文件等所有资料的打印、复印、装订，各代理协议中涉及的专家劳务费用等代理实施采购项目全过程服务所涉及的全部费用。</w:t>
            </w:r>
          </w:p>
          <w:p>
            <w:pPr>
              <w:keepNext w:val="0"/>
              <w:keepLines w:val="0"/>
              <w:widowControl/>
              <w:suppressLineNumbers w:val="0"/>
              <w:spacing w:before="0" w:beforeAutospacing="0" w:after="0" w:afterAutospacing="0" w:line="360" w:lineRule="auto"/>
              <w:ind w:left="0" w:right="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4.代理服务费由代理机构向各项目中标供应商收取，采购人不再另行支付其他费用。如遇特殊情况，经双方协商一致后根据协商结果进行收费。</w:t>
            </w:r>
          </w:p>
          <w:p>
            <w:pPr>
              <w:keepNext w:val="0"/>
              <w:keepLines w:val="0"/>
              <w:widowControl/>
              <w:suppressLineNumbers w:val="0"/>
              <w:spacing w:before="0" w:beforeAutospacing="0" w:after="0" w:afterAutospacing="0" w:line="360" w:lineRule="auto"/>
              <w:ind w:left="0" w:right="0" w:firstLine="480" w:firstLineChars="20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5.依法依规收取代理服务费用，不变相或额外向采购人、潜在供应商、投标供应商、中标供应商等收取除代理服务费用以外的其他费用（法律法规及上级文件规定允许的除外）。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9" w:hRule="atLeast"/>
          <w:jc w:val="center"/>
        </w:trPr>
        <w:tc>
          <w:tcPr>
            <w:tcW w:w="689" w:type="pct"/>
            <w:noWrap w:val="0"/>
            <w:vAlign w:val="center"/>
          </w:tcPr>
          <w:p>
            <w:pPr>
              <w:pStyle w:val="83"/>
              <w:keepNext w:val="0"/>
              <w:keepLines w:val="0"/>
              <w:pageBreakBefore w:val="0"/>
              <w:widowControl/>
              <w:suppressLineNumbers w:val="0"/>
              <w:kinsoku w:val="0"/>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3.委托项目</w:t>
            </w:r>
          </w:p>
          <w:p>
            <w:pPr>
              <w:pStyle w:val="83"/>
              <w:keepNext w:val="0"/>
              <w:keepLines w:val="0"/>
              <w:pageBreakBefore w:val="0"/>
              <w:widowControl/>
              <w:suppressLineNumbers w:val="0"/>
              <w:kinsoku w:val="0"/>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分配方式</w:t>
            </w:r>
          </w:p>
        </w:tc>
        <w:tc>
          <w:tcPr>
            <w:tcW w:w="4310" w:type="pct"/>
            <w:noWrap w:val="0"/>
            <w:vAlign w:val="top"/>
          </w:tcPr>
          <w:p>
            <w:pPr>
              <w:pStyle w:val="83"/>
              <w:keepNext w:val="0"/>
              <w:keepLines w:val="0"/>
              <w:pageBreakBefore w:val="0"/>
              <w:widowControl/>
              <w:suppressLineNumbers w:val="0"/>
              <w:kinsoku w:val="0"/>
              <w:wordWrap/>
              <w:overflowPunct/>
              <w:topLinePunct w:val="0"/>
              <w:autoSpaceDE/>
              <w:autoSpaceDN/>
              <w:bidi w:val="0"/>
              <w:adjustRightInd w:val="0"/>
              <w:snapToGrid w:val="0"/>
              <w:spacing w:before="60" w:beforeAutospacing="0" w:after="0" w:afterAutospacing="0" w:line="360" w:lineRule="auto"/>
              <w:ind w:left="0" w:right="0" w:firstLine="480" w:firstLineChars="200"/>
              <w:textAlignment w:val="baseline"/>
              <w:rPr>
                <w:rFonts w:hint="eastAsia" w:ascii="仿宋" w:hAnsi="仿宋" w:eastAsia="仿宋" w:cs="仿宋"/>
                <w:color w:val="000000"/>
                <w:sz w:val="24"/>
                <w:szCs w:val="24"/>
              </w:rPr>
            </w:pPr>
            <w:r>
              <w:rPr>
                <w:rFonts w:hint="eastAsia" w:ascii="仿宋" w:hAnsi="仿宋" w:eastAsia="仿宋" w:cs="仿宋"/>
                <w:kern w:val="2"/>
                <w:sz w:val="24"/>
                <w:szCs w:val="24"/>
                <w:lang w:val="en-US" w:eastAsia="zh-CN" w:bidi="ar-SA"/>
              </w:rPr>
              <w:t>委托代理机构实施项目时，采取独立的随机抽取机制，确保每个项目代理机构选定独立进行。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9" w:type="pct"/>
            <w:noWrap w:val="0"/>
            <w:vAlign w:val="center"/>
          </w:tcPr>
          <w:p>
            <w:pPr>
              <w:pStyle w:val="83"/>
              <w:keepNext w:val="0"/>
              <w:keepLines w:val="0"/>
              <w:pageBreakBefore w:val="0"/>
              <w:widowControl/>
              <w:suppressLineNumbers w:val="0"/>
              <w:kinsoku w:val="0"/>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default" w:ascii="仿宋" w:hAnsi="仿宋" w:eastAsia="仿宋" w:cs="仿宋"/>
                <w:color w:val="auto"/>
                <w:sz w:val="24"/>
                <w:szCs w:val="24"/>
                <w:lang w:val="en-US" w:eastAsia="zh-CN"/>
              </w:rPr>
            </w:pPr>
            <w:r>
              <w:rPr>
                <w:rFonts w:hint="eastAsia" w:ascii="仿宋" w:hAnsi="仿宋" w:eastAsia="仿宋" w:cs="仿宋"/>
                <w:kern w:val="2"/>
                <w:sz w:val="24"/>
                <w:szCs w:val="24"/>
                <w:lang w:val="en-US" w:eastAsia="zh-CN" w:bidi="ar-SA"/>
              </w:rPr>
              <w:t>4.</w:t>
            </w:r>
            <w:r>
              <w:rPr>
                <w:rFonts w:hint="eastAsia" w:ascii="仿宋" w:hAnsi="仿宋" w:eastAsia="仿宋" w:cs="仿宋"/>
                <w:color w:val="auto"/>
                <w:kern w:val="2"/>
                <w:sz w:val="24"/>
                <w:szCs w:val="24"/>
                <w:highlight w:val="none"/>
                <w:lang w:val="en-US" w:eastAsia="zh-CN" w:bidi="ar-SA"/>
              </w:rPr>
              <w:t>同类业绩</w:t>
            </w:r>
          </w:p>
        </w:tc>
        <w:tc>
          <w:tcPr>
            <w:tcW w:w="4310" w:type="pct"/>
            <w:noWrap w:val="0"/>
            <w:vAlign w:val="top"/>
          </w:tcPr>
          <w:p>
            <w:pPr>
              <w:pStyle w:val="83"/>
              <w:keepNext w:val="0"/>
              <w:keepLines w:val="0"/>
              <w:pageBreakBefore w:val="0"/>
              <w:widowControl/>
              <w:suppressLineNumbers w:val="0"/>
              <w:kinsoku w:val="0"/>
              <w:wordWrap/>
              <w:overflowPunct/>
              <w:topLinePunct w:val="0"/>
              <w:autoSpaceDE/>
              <w:autoSpaceDN/>
              <w:bidi w:val="0"/>
              <w:adjustRightInd w:val="0"/>
              <w:snapToGrid w:val="0"/>
              <w:spacing w:before="60" w:beforeAutospacing="0" w:after="0" w:afterAutospacing="0" w:line="360" w:lineRule="auto"/>
              <w:ind w:left="0" w:right="0" w:firstLine="480" w:firstLineChars="200"/>
              <w:textAlignment w:val="baseline"/>
              <w:rPr>
                <w:rFonts w:hint="eastAsia" w:ascii="仿宋" w:hAnsi="仿宋" w:eastAsia="仿宋" w:cs="仿宋"/>
                <w:kern w:val="2"/>
                <w:sz w:val="24"/>
                <w:szCs w:val="24"/>
                <w:lang w:val="en-US" w:eastAsia="zh-CN" w:bidi="ar-SA"/>
              </w:rPr>
            </w:pPr>
            <w:r>
              <w:rPr>
                <w:rFonts w:hint="eastAsia" w:ascii="仿宋" w:hAnsi="仿宋" w:eastAsia="仿宋" w:cs="仿宋"/>
                <w:color w:val="auto"/>
                <w:kern w:val="2"/>
                <w:sz w:val="24"/>
                <w:szCs w:val="24"/>
                <w:highlight w:val="none"/>
                <w:lang w:val="en-US" w:eastAsia="zh-CN" w:bidi="ar-SA"/>
              </w:rPr>
              <w:t>1.提供2023年1月1日至今（以合同签订时间为准）招标代理资格入库业绩情况</w:t>
            </w:r>
            <w:r>
              <w:rPr>
                <w:rFonts w:hint="eastAsia" w:ascii="仿宋" w:hAnsi="仿宋" w:eastAsia="仿宋" w:cs="仿宋"/>
                <w:kern w:val="2"/>
                <w:sz w:val="24"/>
                <w:szCs w:val="24"/>
                <w:lang w:val="en-US" w:eastAsia="zh-CN" w:bidi="ar-SA"/>
              </w:rPr>
              <w:t>。</w:t>
            </w:r>
          </w:p>
          <w:p>
            <w:pPr>
              <w:pStyle w:val="83"/>
              <w:keepNext w:val="0"/>
              <w:keepLines w:val="0"/>
              <w:pageBreakBefore w:val="0"/>
              <w:widowControl/>
              <w:suppressLineNumbers w:val="0"/>
              <w:kinsoku w:val="0"/>
              <w:wordWrap/>
              <w:overflowPunct/>
              <w:topLinePunct w:val="0"/>
              <w:autoSpaceDE/>
              <w:autoSpaceDN/>
              <w:bidi w:val="0"/>
              <w:adjustRightInd w:val="0"/>
              <w:snapToGrid w:val="0"/>
              <w:spacing w:before="60" w:beforeAutospacing="0" w:after="0" w:afterAutospacing="0" w:line="360" w:lineRule="auto"/>
              <w:ind w:left="0" w:right="0" w:firstLine="480" w:firstLineChars="200"/>
              <w:textAlignment w:val="baseline"/>
              <w:rPr>
                <w:rFonts w:hint="default" w:ascii="仿宋" w:hAnsi="仿宋" w:eastAsia="仿宋" w:cs="仿宋"/>
                <w:kern w:val="2"/>
                <w:sz w:val="24"/>
                <w:szCs w:val="24"/>
                <w:lang w:val="en-US" w:eastAsia="zh-CN" w:bidi="ar-SA"/>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rPr>
              <w:t>提供2023年1月1日至今（以合同签订时间为准）采购项目招标代理业绩情况。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9" w:hRule="atLeast"/>
          <w:jc w:val="center"/>
        </w:trPr>
        <w:tc>
          <w:tcPr>
            <w:tcW w:w="689" w:type="pct"/>
            <w:noWrap w:val="0"/>
            <w:vAlign w:val="center"/>
          </w:tcPr>
          <w:p>
            <w:pPr>
              <w:pStyle w:val="83"/>
              <w:keepNext w:val="0"/>
              <w:keepLines w:val="0"/>
              <w:pageBreakBefore w:val="0"/>
              <w:widowControl/>
              <w:suppressLineNumbers w:val="0"/>
              <w:kinsoku w:val="0"/>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default" w:ascii="仿宋" w:hAnsi="仿宋" w:eastAsia="仿宋" w:cs="仿宋"/>
                <w:color w:val="auto"/>
                <w:kern w:val="2"/>
                <w:sz w:val="24"/>
                <w:szCs w:val="24"/>
                <w:lang w:val="en-US" w:eastAsia="zh-CN" w:bidi="ar-SA"/>
              </w:rPr>
            </w:pPr>
            <w:r>
              <w:rPr>
                <w:rFonts w:hint="eastAsia" w:ascii="仿宋" w:hAnsi="仿宋" w:eastAsia="仿宋" w:cs="仿宋"/>
                <w:kern w:val="2"/>
                <w:sz w:val="24"/>
                <w:szCs w:val="24"/>
                <w:lang w:val="en-US" w:eastAsia="zh-CN" w:bidi="ar-SA"/>
              </w:rPr>
              <w:t>5.</w:t>
            </w:r>
            <w:r>
              <w:rPr>
                <w:rFonts w:hint="eastAsia" w:ascii="仿宋" w:hAnsi="仿宋" w:eastAsia="仿宋" w:cs="仿宋"/>
                <w:color w:val="auto"/>
                <w:kern w:val="2"/>
                <w:sz w:val="24"/>
                <w:szCs w:val="24"/>
                <w:highlight w:val="none"/>
                <w:lang w:val="en-US" w:eastAsia="zh-CN" w:bidi="ar-SA"/>
              </w:rPr>
              <w:t>用户满意度评价</w:t>
            </w:r>
          </w:p>
        </w:tc>
        <w:tc>
          <w:tcPr>
            <w:tcW w:w="4310" w:type="pct"/>
            <w:noWrap w:val="0"/>
            <w:vAlign w:val="center"/>
          </w:tcPr>
          <w:p>
            <w:pPr>
              <w:pStyle w:val="83"/>
              <w:keepNext w:val="0"/>
              <w:keepLines w:val="0"/>
              <w:pageBreakBefore w:val="0"/>
              <w:widowControl/>
              <w:suppressLineNumbers w:val="0"/>
              <w:kinsoku w:val="0"/>
              <w:wordWrap/>
              <w:overflowPunct/>
              <w:topLinePunct w:val="0"/>
              <w:autoSpaceDE/>
              <w:autoSpaceDN/>
              <w:bidi w:val="0"/>
              <w:adjustRightInd w:val="0"/>
              <w:snapToGrid w:val="0"/>
              <w:spacing w:before="60" w:beforeAutospacing="0" w:after="0" w:afterAutospacing="0" w:line="360" w:lineRule="auto"/>
              <w:ind w:left="0" w:right="0" w:firstLine="480" w:firstLineChars="200"/>
              <w:jc w:val="left"/>
              <w:textAlignment w:val="baseline"/>
              <w:rPr>
                <w:rFonts w:hint="default" w:ascii="仿宋" w:hAnsi="仿宋" w:eastAsia="仿宋" w:cs="仿宋"/>
                <w:kern w:val="2"/>
                <w:sz w:val="24"/>
                <w:szCs w:val="24"/>
                <w:lang w:val="en-US" w:eastAsia="zh-CN" w:bidi="ar-SA"/>
              </w:rPr>
            </w:pPr>
            <w:r>
              <w:rPr>
                <w:rFonts w:hint="eastAsia" w:ascii="仿宋" w:hAnsi="仿宋" w:eastAsia="仿宋" w:cs="仿宋"/>
                <w:color w:val="auto"/>
                <w:sz w:val="24"/>
                <w:szCs w:val="24"/>
              </w:rPr>
              <w:t>提供</w:t>
            </w:r>
            <w:r>
              <w:rPr>
                <w:rFonts w:hint="eastAsia" w:ascii="仿宋" w:hAnsi="仿宋" w:eastAsia="仿宋" w:cs="仿宋"/>
                <w:color w:val="auto"/>
                <w:kern w:val="2"/>
                <w:sz w:val="24"/>
                <w:szCs w:val="24"/>
                <w:highlight w:val="none"/>
                <w:lang w:val="en-US" w:eastAsia="zh-CN"/>
              </w:rPr>
              <w:t>2023年1月1日至今</w:t>
            </w:r>
            <w:r>
              <w:rPr>
                <w:rFonts w:hint="eastAsia" w:ascii="仿宋" w:hAnsi="仿宋" w:eastAsia="仿宋" w:cs="仿宋"/>
                <w:color w:val="auto"/>
                <w:kern w:val="2"/>
                <w:sz w:val="24"/>
                <w:szCs w:val="24"/>
                <w:highlight w:val="none"/>
                <w:lang w:val="en-US" w:eastAsia="zh-CN" w:bidi="ar-SA"/>
              </w:rPr>
              <w:t>招标代理业绩</w:t>
            </w:r>
            <w:r>
              <w:rPr>
                <w:rFonts w:hint="eastAsia" w:ascii="仿宋" w:hAnsi="仿宋" w:eastAsia="仿宋" w:cs="仿宋"/>
                <w:color w:val="auto"/>
                <w:sz w:val="24"/>
                <w:szCs w:val="24"/>
              </w:rPr>
              <w:t>的用户满意度评价</w:t>
            </w:r>
            <w:r>
              <w:rPr>
                <w:rFonts w:hint="eastAsia" w:ascii="仿宋" w:hAnsi="仿宋" w:eastAsia="仿宋" w:cs="仿宋"/>
                <w:color w:val="auto"/>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9" w:hRule="atLeast"/>
          <w:jc w:val="center"/>
        </w:trPr>
        <w:tc>
          <w:tcPr>
            <w:tcW w:w="689" w:type="pct"/>
            <w:noWrap w:val="0"/>
            <w:vAlign w:val="center"/>
          </w:tcPr>
          <w:p>
            <w:pPr>
              <w:pStyle w:val="83"/>
              <w:keepNext w:val="0"/>
              <w:keepLines w:val="0"/>
              <w:pageBreakBefore w:val="0"/>
              <w:widowControl/>
              <w:suppressLineNumbers w:val="0"/>
              <w:kinsoku w:val="0"/>
              <w:wordWrap/>
              <w:overflowPunct/>
              <w:topLinePunct w:val="0"/>
              <w:autoSpaceDE/>
              <w:autoSpaceDN/>
              <w:bidi w:val="0"/>
              <w:adjustRightInd w:val="0"/>
              <w:snapToGrid w:val="0"/>
              <w:spacing w:before="60" w:beforeAutospacing="0" w:after="0" w:afterAutospacing="0" w:line="360" w:lineRule="auto"/>
              <w:ind w:left="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6.</w:t>
            </w:r>
            <w:r>
              <w:rPr>
                <w:rFonts w:hint="eastAsia" w:ascii="仿宋" w:hAnsi="仿宋" w:eastAsia="仿宋" w:cs="仿宋"/>
                <w:color w:val="auto"/>
                <w:kern w:val="2"/>
                <w:sz w:val="24"/>
                <w:szCs w:val="24"/>
                <w:highlight w:val="none"/>
                <w:lang w:val="en-US" w:eastAsia="zh-CN" w:bidi="ar-SA"/>
              </w:rPr>
              <w:t>档案管理</w:t>
            </w:r>
          </w:p>
          <w:p>
            <w:pPr>
              <w:pStyle w:val="83"/>
              <w:keepNext w:val="0"/>
              <w:keepLines w:val="0"/>
              <w:pageBreakBefore w:val="0"/>
              <w:widowControl/>
              <w:suppressLineNumbers w:val="0"/>
              <w:kinsoku w:val="0"/>
              <w:wordWrap/>
              <w:overflowPunct/>
              <w:topLinePunct w:val="0"/>
              <w:autoSpaceDE/>
              <w:autoSpaceDN/>
              <w:bidi w:val="0"/>
              <w:adjustRightInd w:val="0"/>
              <w:snapToGrid w:val="0"/>
              <w:spacing w:before="60" w:beforeAutospacing="0" w:after="0" w:afterAutospacing="0" w:line="360" w:lineRule="auto"/>
              <w:ind w:left="0" w:right="0" w:firstLine="0" w:firstLineChars="0"/>
              <w:jc w:val="center"/>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要求</w:t>
            </w:r>
          </w:p>
        </w:tc>
        <w:tc>
          <w:tcPr>
            <w:tcW w:w="4310" w:type="pct"/>
            <w:noWrap w:val="0"/>
            <w:vAlign w:val="top"/>
          </w:tcPr>
          <w:p>
            <w:pPr>
              <w:pStyle w:val="83"/>
              <w:keepNext w:val="0"/>
              <w:keepLines w:val="0"/>
              <w:pageBreakBefore w:val="0"/>
              <w:widowControl/>
              <w:suppressLineNumbers w:val="0"/>
              <w:kinsoku w:val="0"/>
              <w:wordWrap/>
              <w:overflowPunct/>
              <w:topLinePunct w:val="0"/>
              <w:autoSpaceDE/>
              <w:autoSpaceDN/>
              <w:bidi w:val="0"/>
              <w:adjustRightInd w:val="0"/>
              <w:snapToGrid w:val="0"/>
              <w:spacing w:before="60" w:beforeAutospacing="0" w:after="0" w:afterAutospacing="0" w:line="360" w:lineRule="auto"/>
              <w:ind w:left="0" w:right="0" w:firstLine="480" w:firstLineChars="200"/>
              <w:textAlignment w:val="baseline"/>
              <w:rPr>
                <w:rFonts w:hint="eastAsia" w:ascii="仿宋" w:hAnsi="仿宋" w:eastAsia="仿宋" w:cs="仿宋"/>
                <w:kern w:val="2"/>
                <w:sz w:val="24"/>
                <w:szCs w:val="24"/>
                <w:lang w:val="en-US" w:eastAsia="zh-CN" w:bidi="ar-SA"/>
              </w:rPr>
            </w:pPr>
            <w:r>
              <w:rPr>
                <w:rFonts w:hint="eastAsia" w:ascii="仿宋" w:hAnsi="仿宋" w:eastAsia="仿宋" w:cs="仿宋"/>
                <w:color w:val="auto"/>
                <w:kern w:val="2"/>
                <w:sz w:val="24"/>
                <w:szCs w:val="24"/>
                <w:highlight w:val="none"/>
                <w:lang w:val="en-US" w:eastAsia="zh-CN" w:bidi="ar-SA"/>
              </w:rPr>
              <w:t>包括纸质档案、电子档案等：</w:t>
            </w:r>
          </w:p>
          <w:p>
            <w:pPr>
              <w:keepNext w:val="0"/>
              <w:keepLines w:val="0"/>
              <w:widowControl/>
              <w:suppressLineNumbers w:val="0"/>
              <w:spacing w:before="0" w:beforeAutospacing="0" w:after="0" w:afterAutospacing="0" w:line="360" w:lineRule="auto"/>
              <w:ind w:left="0" w:right="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代理机构具备采购档案的保存场所，制定完善的档案管理和保密制度，维护采购活动当事人的合法权益，承担有关保管、保密义务。除有关监督管理部门依法进行核查外，应当禁止任何与采购项目无关的单位或个人查阅采购档案资料。</w:t>
            </w:r>
          </w:p>
          <w:p>
            <w:pPr>
              <w:pStyle w:val="83"/>
              <w:keepNext w:val="0"/>
              <w:keepLines w:val="0"/>
              <w:pageBreakBefore w:val="0"/>
              <w:widowControl/>
              <w:suppressLineNumbers w:val="0"/>
              <w:kinsoku w:val="0"/>
              <w:wordWrap/>
              <w:overflowPunct/>
              <w:topLinePunct w:val="0"/>
              <w:autoSpaceDE/>
              <w:autoSpaceDN/>
              <w:bidi w:val="0"/>
              <w:adjustRightInd w:val="0"/>
              <w:snapToGrid w:val="0"/>
              <w:spacing w:before="60" w:beforeAutospacing="0" w:after="0" w:afterAutospacing="0"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评审结束后移交项目投标文件，评审报告、定标报告等主要过程资料，供采购人进行复核以及时确认中标人。及时依法发出中标/成交公告，且须在中标/成交通知书发出后尽快将招标采购全过程资料整理核查完毕，并将规整齐全的纸质移交采购人，电子版资料上传至采购人电子采购与招标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5" w:hRule="atLeast"/>
          <w:jc w:val="center"/>
        </w:trPr>
        <w:tc>
          <w:tcPr>
            <w:tcW w:w="689"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u w:val="none"/>
                <w:lang w:val="en-US" w:eastAsia="zh-CN" w:bidi="ar-SA"/>
              </w:rPr>
              <w:t>7.其他要求</w:t>
            </w:r>
          </w:p>
        </w:tc>
        <w:tc>
          <w:tcPr>
            <w:tcW w:w="43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其他要求按《采购代理机构管理办法（试行）》（节选）实施</w:t>
            </w:r>
          </w:p>
        </w:tc>
      </w:tr>
    </w:tbl>
    <w:p>
      <w:pPr>
        <w:numPr>
          <w:ilvl w:val="0"/>
          <w:numId w:val="0"/>
        </w:numPr>
        <w:spacing w:line="240" w:lineRule="auto"/>
        <w:ind w:firstLine="482" w:firstLineChars="200"/>
        <w:jc w:val="left"/>
        <w:rPr>
          <w:rFonts w:hint="eastAsia" w:ascii="仿宋" w:hAnsi="仿宋" w:eastAsia="仿宋" w:cs="仿宋"/>
          <w:b/>
          <w:bCs/>
          <w:color w:val="auto"/>
          <w:kern w:val="2"/>
          <w:sz w:val="24"/>
          <w:szCs w:val="24"/>
          <w:lang w:val="en-US" w:eastAsia="zh-CN" w:bidi="ar-SA"/>
        </w:rPr>
      </w:pPr>
    </w:p>
    <w:p>
      <w:pPr>
        <w:numPr>
          <w:ilvl w:val="0"/>
          <w:numId w:val="0"/>
        </w:numPr>
        <w:spacing w:line="240" w:lineRule="auto"/>
        <w:ind w:firstLine="482" w:firstLineChars="200"/>
        <w:jc w:val="left"/>
        <w:rPr>
          <w:rFonts w:hint="eastAsia" w:ascii="仿宋" w:hAnsi="仿宋" w:eastAsia="仿宋" w:cs="仿宋"/>
          <w:b/>
          <w:bCs/>
          <w:color w:val="auto"/>
          <w:kern w:val="2"/>
          <w:sz w:val="24"/>
          <w:szCs w:val="24"/>
          <w:lang w:val="en-US" w:eastAsia="zh-CN" w:bidi="ar-SA"/>
        </w:rPr>
      </w:pPr>
    </w:p>
    <w:p>
      <w:pPr>
        <w:numPr>
          <w:ilvl w:val="0"/>
          <w:numId w:val="0"/>
        </w:numPr>
        <w:spacing w:line="360" w:lineRule="auto"/>
        <w:ind w:firstLine="482" w:firstLineChars="200"/>
        <w:jc w:val="left"/>
        <w:rPr>
          <w:rStyle w:val="52"/>
          <w:rFonts w:hint="eastAsia" w:ascii="仿宋" w:hAnsi="仿宋" w:eastAsia="仿宋" w:cs="仿宋"/>
          <w:b/>
          <w:bCs/>
          <w:sz w:val="24"/>
          <w:szCs w:val="24"/>
          <w:highlight w:val="none"/>
          <w:lang w:val="en-US" w:eastAsia="zh-CN"/>
        </w:rPr>
      </w:pPr>
      <w:r>
        <w:rPr>
          <w:rFonts w:hint="eastAsia" w:ascii="仿宋" w:hAnsi="仿宋" w:eastAsia="仿宋" w:cs="仿宋"/>
          <w:b/>
          <w:bCs/>
          <w:kern w:val="2"/>
          <w:sz w:val="24"/>
          <w:szCs w:val="24"/>
          <w:lang w:val="en-US" w:eastAsia="zh-CN" w:bidi="ar-SA"/>
        </w:rPr>
        <w:t>（二）</w:t>
      </w:r>
      <w:r>
        <w:rPr>
          <w:rStyle w:val="52"/>
          <w:rFonts w:hint="eastAsia" w:ascii="仿宋" w:hAnsi="仿宋" w:eastAsia="仿宋" w:cs="仿宋"/>
          <w:b/>
          <w:bCs/>
          <w:sz w:val="24"/>
          <w:szCs w:val="24"/>
          <w:highlight w:val="none"/>
          <w:lang w:eastAsia="zh-CN"/>
        </w:rPr>
        <w:t>服务</w:t>
      </w:r>
      <w:r>
        <w:rPr>
          <w:rStyle w:val="52"/>
          <w:rFonts w:hint="eastAsia" w:ascii="仿宋" w:hAnsi="仿宋" w:eastAsia="仿宋" w:cs="仿宋"/>
          <w:b/>
          <w:bCs/>
          <w:sz w:val="24"/>
          <w:szCs w:val="24"/>
          <w:highlight w:val="none"/>
          <w:lang w:val="en-US" w:eastAsia="zh-CN"/>
        </w:rPr>
        <w:t>技术要求</w:t>
      </w:r>
    </w:p>
    <w:tbl>
      <w:tblPr>
        <w:tblStyle w:val="31"/>
        <w:tblW w:w="9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2"/>
        <w:gridCol w:w="6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283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参数名称</w:t>
            </w:r>
          </w:p>
        </w:tc>
        <w:tc>
          <w:tcPr>
            <w:tcW w:w="63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技术参数要求描述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283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1.</w:t>
            </w:r>
            <w:r>
              <w:rPr>
                <w:rFonts w:hint="eastAsia" w:ascii="仿宋" w:hAnsi="仿宋" w:eastAsia="仿宋" w:cs="仿宋"/>
                <w:color w:val="auto"/>
                <w:kern w:val="0"/>
                <w:sz w:val="24"/>
                <w:szCs w:val="24"/>
                <w:highlight w:val="none"/>
                <w:lang w:val="en-US" w:eastAsia="zh-CN" w:bidi="ar"/>
              </w:rPr>
              <w:t>进度措施方案</w:t>
            </w:r>
          </w:p>
        </w:tc>
        <w:tc>
          <w:tcPr>
            <w:tcW w:w="63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360" w:lineRule="auto"/>
              <w:ind w:left="0" w:right="0" w:firstLine="480" w:firstLineChars="20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color w:val="auto"/>
                <w:kern w:val="0"/>
                <w:sz w:val="24"/>
                <w:szCs w:val="24"/>
                <w:highlight w:val="none"/>
                <w:lang w:val="en-US" w:eastAsia="zh-CN" w:bidi="ar"/>
              </w:rPr>
              <w:t>进度措施方案（包括但不限于</w:t>
            </w:r>
            <w:r>
              <w:rPr>
                <w:rFonts w:hint="eastAsia" w:ascii="仿宋" w:hAnsi="仿宋" w:eastAsia="仿宋" w:cs="仿宋"/>
                <w:b w:val="0"/>
                <w:bCs w:val="0"/>
                <w:i w:val="0"/>
                <w:iCs w:val="0"/>
                <w:caps w:val="0"/>
                <w:color w:val="auto"/>
                <w:spacing w:val="0"/>
                <w:kern w:val="0"/>
                <w:sz w:val="24"/>
                <w:szCs w:val="24"/>
                <w:highlight w:val="none"/>
                <w:shd w:val="clear"/>
                <w:lang w:bidi="ar"/>
              </w:rPr>
              <w:t>详细的进度计划</w:t>
            </w:r>
            <w:r>
              <w:rPr>
                <w:rFonts w:hint="eastAsia" w:ascii="仿宋" w:hAnsi="仿宋" w:eastAsia="仿宋" w:cs="仿宋"/>
                <w:b w:val="0"/>
                <w:bCs w:val="0"/>
                <w:i w:val="0"/>
                <w:iCs w:val="0"/>
                <w:caps w:val="0"/>
                <w:color w:val="auto"/>
                <w:spacing w:val="0"/>
                <w:kern w:val="0"/>
                <w:sz w:val="24"/>
                <w:szCs w:val="24"/>
                <w:highlight w:val="none"/>
                <w:shd w:val="clear"/>
                <w:lang w:eastAsia="zh-CN" w:bidi="ar"/>
              </w:rPr>
              <w:t>、</w:t>
            </w:r>
            <w:r>
              <w:rPr>
                <w:rFonts w:hint="eastAsia" w:ascii="仿宋" w:hAnsi="仿宋" w:eastAsia="仿宋" w:cs="仿宋"/>
                <w:sz w:val="24"/>
                <w:szCs w:val="24"/>
                <w:lang w:val="en-US" w:eastAsia="zh-CN"/>
              </w:rPr>
              <w:t>实施效率、响应时效、</w:t>
            </w:r>
            <w:r>
              <w:rPr>
                <w:rFonts w:hint="eastAsia" w:ascii="仿宋" w:hAnsi="仿宋" w:eastAsia="仿宋" w:cs="仿宋"/>
                <w:b w:val="0"/>
                <w:bCs w:val="0"/>
                <w:i w:val="0"/>
                <w:iCs w:val="0"/>
                <w:caps w:val="0"/>
                <w:color w:val="auto"/>
                <w:spacing w:val="0"/>
                <w:kern w:val="0"/>
                <w:sz w:val="24"/>
                <w:szCs w:val="24"/>
                <w:highlight w:val="none"/>
                <w:shd w:val="clear"/>
                <w:lang w:bidi="ar"/>
              </w:rPr>
              <w:t>资源保障</w:t>
            </w:r>
            <w:r>
              <w:rPr>
                <w:rFonts w:hint="eastAsia" w:ascii="仿宋" w:hAnsi="仿宋" w:eastAsia="仿宋" w:cs="仿宋"/>
                <w:b w:val="0"/>
                <w:bCs w:val="0"/>
                <w:i w:val="0"/>
                <w:iCs w:val="0"/>
                <w:caps w:val="0"/>
                <w:color w:val="auto"/>
                <w:spacing w:val="0"/>
                <w:kern w:val="0"/>
                <w:sz w:val="24"/>
                <w:szCs w:val="24"/>
                <w:highlight w:val="none"/>
                <w:shd w:val="clear"/>
                <w:lang w:eastAsia="zh-CN" w:bidi="ar"/>
              </w:rPr>
              <w:t>、</w:t>
            </w:r>
            <w:r>
              <w:rPr>
                <w:rFonts w:hint="eastAsia" w:ascii="仿宋" w:hAnsi="仿宋" w:eastAsia="仿宋" w:cs="仿宋"/>
                <w:b w:val="0"/>
                <w:bCs w:val="0"/>
                <w:i w:val="0"/>
                <w:iCs w:val="0"/>
                <w:caps w:val="0"/>
                <w:color w:val="auto"/>
                <w:spacing w:val="0"/>
                <w:kern w:val="0"/>
                <w:sz w:val="24"/>
                <w:szCs w:val="24"/>
                <w:highlight w:val="none"/>
                <w:shd w:val="clear"/>
                <w:lang w:bidi="ar"/>
              </w:rPr>
              <w:t>进度控制方法</w:t>
            </w:r>
            <w:r>
              <w:rPr>
                <w:rFonts w:hint="eastAsia" w:ascii="仿宋" w:hAnsi="仿宋" w:eastAsia="仿宋" w:cs="仿宋"/>
                <w:b w:val="0"/>
                <w:bCs w:val="0"/>
                <w:i w:val="0"/>
                <w:iCs w:val="0"/>
                <w:caps w:val="0"/>
                <w:color w:val="auto"/>
                <w:spacing w:val="0"/>
                <w:kern w:val="0"/>
                <w:sz w:val="24"/>
                <w:szCs w:val="24"/>
                <w:highlight w:val="none"/>
                <w:shd w:val="clear"/>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283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r>
              <w:rPr>
                <w:rFonts w:hint="eastAsia" w:ascii="仿宋" w:hAnsi="仿宋" w:eastAsia="仿宋" w:cs="仿宋"/>
                <w:kern w:val="0"/>
                <w:sz w:val="24"/>
                <w:szCs w:val="24"/>
                <w:highlight w:val="none"/>
                <w:lang w:val="en-US" w:eastAsia="zh-CN" w:bidi="ar"/>
              </w:rPr>
              <w:t>经营场所要求</w:t>
            </w:r>
          </w:p>
        </w:tc>
        <w:tc>
          <w:tcPr>
            <w:tcW w:w="63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kern w:val="0"/>
                <w:sz w:val="24"/>
                <w:szCs w:val="24"/>
                <w:highlight w:val="none"/>
                <w:lang w:val="en-US" w:eastAsia="zh-CN" w:bidi="ar"/>
              </w:rPr>
              <w:t>在惠州市内有固定经营场所，具备招标工作</w:t>
            </w:r>
            <w:r>
              <w:rPr>
                <w:rFonts w:hint="eastAsia" w:ascii="仿宋" w:hAnsi="仿宋" w:eastAsia="仿宋" w:cs="仿宋"/>
                <w:color w:val="auto"/>
                <w:kern w:val="0"/>
                <w:sz w:val="24"/>
                <w:szCs w:val="24"/>
                <w:highlight w:val="none"/>
                <w:lang w:val="en-US" w:eastAsia="zh-CN" w:bidi="ar"/>
              </w:rPr>
              <w:t>必需的</w:t>
            </w:r>
            <w:r>
              <w:rPr>
                <w:rFonts w:hint="eastAsia" w:ascii="仿宋" w:hAnsi="仿宋" w:eastAsia="仿宋" w:cs="仿宋"/>
                <w:kern w:val="0"/>
                <w:sz w:val="24"/>
                <w:szCs w:val="24"/>
                <w:highlight w:val="none"/>
                <w:lang w:val="en-US" w:eastAsia="zh-CN" w:bidi="ar"/>
              </w:rPr>
              <w:t>开评标场地和设备设施（录音录像等监控设备设施）。提供：①房屋产权证明资料或租赁合同复印件，②开标场地照片，③录音录像等监控设备设施照片。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283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3.项目负责人</w:t>
            </w:r>
          </w:p>
        </w:tc>
        <w:tc>
          <w:tcPr>
            <w:tcW w:w="63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具备至少1名项目负责人，具有“中级专业能力评价类相关证书”或具有“初级专业能力评价类相关证书”，熟悉招投法、政府采购法等相关法律法规，专门负责项目对接与沟通，对委托项目全过程负责，保证流程合法合规。团队在服务期间应保持队伍的稳定性，相关人员应和遴选时响应文件人员名单保持一致，未经医院同意，不得随意更换。（提供服务团队人员名单、身份证复印件、有效证书复印件</w:t>
            </w:r>
            <w:r>
              <w:rPr>
                <w:rFonts w:hint="eastAsia" w:ascii="仿宋" w:hAnsi="仿宋" w:eastAsia="仿宋" w:cs="仿宋"/>
                <w:b w:val="0"/>
                <w:bCs w:val="0"/>
                <w:i w:val="0"/>
                <w:strike w:val="0"/>
                <w:color w:val="auto"/>
                <w:kern w:val="0"/>
                <w:sz w:val="24"/>
                <w:szCs w:val="24"/>
                <w:highlight w:val="none"/>
                <w:vertAlign w:val="baseline"/>
                <w:lang w:val="en-US" w:eastAsia="zh-CN" w:bidi="ar"/>
              </w:rPr>
              <w:t>及</w:t>
            </w:r>
            <w:r>
              <w:rPr>
                <w:rFonts w:hint="eastAsia" w:ascii="仿宋" w:hAnsi="仿宋" w:eastAsia="仿宋" w:cs="仿宋"/>
                <w:color w:val="auto"/>
                <w:kern w:val="0"/>
                <w:sz w:val="24"/>
                <w:szCs w:val="24"/>
                <w:highlight w:val="none"/>
                <w:lang w:val="en-US" w:eastAsia="zh-CN" w:bidi="ar"/>
              </w:rPr>
              <w:t>递交文件前半年内任意一个月社保缴纳记录</w:t>
            </w:r>
            <w:r>
              <w:rPr>
                <w:rFonts w:hint="eastAsia" w:ascii="仿宋" w:hAnsi="仿宋" w:eastAsia="仿宋" w:cs="仿宋"/>
                <w:b w:val="0"/>
                <w:bCs w:val="0"/>
                <w:i w:val="0"/>
                <w:strike w:val="0"/>
                <w:color w:val="auto"/>
                <w:kern w:val="0"/>
                <w:sz w:val="24"/>
                <w:szCs w:val="24"/>
                <w:highlight w:val="none"/>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283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w:t>
            </w:r>
            <w:r>
              <w:rPr>
                <w:rFonts w:hint="eastAsia" w:ascii="仿宋" w:hAnsi="仿宋" w:eastAsia="仿宋" w:cs="仿宋"/>
                <w:color w:val="auto"/>
                <w:kern w:val="0"/>
                <w:sz w:val="24"/>
                <w:szCs w:val="24"/>
                <w:highlight w:val="none"/>
                <w:lang w:val="en-US" w:eastAsia="zh-CN" w:bidi="ar"/>
              </w:rPr>
              <w:t>团队人员</w:t>
            </w:r>
          </w:p>
        </w:tc>
        <w:tc>
          <w:tcPr>
            <w:tcW w:w="63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具备至少2名固定经办人（项目负责人不得兼任固定经办人）和</w:t>
            </w:r>
            <w:r>
              <w:rPr>
                <w:rFonts w:hint="eastAsia" w:ascii="仿宋" w:hAnsi="仿宋" w:eastAsia="仿宋" w:cs="仿宋"/>
                <w:kern w:val="0"/>
                <w:sz w:val="24"/>
                <w:szCs w:val="24"/>
                <w:highlight w:val="none"/>
                <w:lang w:val="en-US" w:eastAsia="zh-CN" w:bidi="ar"/>
              </w:rPr>
              <w:t>2名专职从业人员</w:t>
            </w:r>
            <w:r>
              <w:rPr>
                <w:rFonts w:hint="eastAsia" w:ascii="仿宋" w:hAnsi="仿宋" w:eastAsia="仿宋" w:cs="仿宋"/>
                <w:color w:val="auto"/>
                <w:kern w:val="0"/>
                <w:sz w:val="24"/>
                <w:szCs w:val="24"/>
                <w:highlight w:val="none"/>
                <w:lang w:val="en-US" w:eastAsia="zh-CN" w:bidi="ar"/>
              </w:rPr>
              <w:t>，具有行业主管部门或政府采购协会颁发的“培训证书”，熟悉招投法、政府采购法等相关法律法规，负责文件编制和流程启动工作，需确保招标文件质量并完成合规发布等。团队在服务期间应保持队伍的稳定性，相关人员应和遴选时响应文件人员名单保持一致，未经医院同意，不得随意更换。（提供服务团队人员名单、身份证复印件、有效证书复印件</w:t>
            </w:r>
            <w:r>
              <w:rPr>
                <w:rFonts w:hint="eastAsia" w:ascii="仿宋" w:hAnsi="仿宋" w:eastAsia="仿宋" w:cs="仿宋"/>
                <w:b w:val="0"/>
                <w:bCs w:val="0"/>
                <w:i w:val="0"/>
                <w:strike w:val="0"/>
                <w:color w:val="auto"/>
                <w:kern w:val="0"/>
                <w:sz w:val="24"/>
                <w:szCs w:val="24"/>
                <w:highlight w:val="none"/>
                <w:vertAlign w:val="baseline"/>
                <w:lang w:val="en-US" w:eastAsia="zh-CN" w:bidi="ar"/>
              </w:rPr>
              <w:t>及</w:t>
            </w:r>
            <w:r>
              <w:rPr>
                <w:rFonts w:hint="eastAsia" w:ascii="仿宋" w:hAnsi="仿宋" w:eastAsia="仿宋" w:cs="仿宋"/>
                <w:color w:val="auto"/>
                <w:kern w:val="0"/>
                <w:sz w:val="24"/>
                <w:szCs w:val="24"/>
                <w:highlight w:val="none"/>
                <w:lang w:val="en-US" w:eastAsia="zh-CN" w:bidi="ar"/>
              </w:rPr>
              <w:t>递交文件前半年内任意一个月社保缴纳记录</w:t>
            </w:r>
            <w:r>
              <w:rPr>
                <w:rFonts w:hint="eastAsia" w:ascii="仿宋" w:hAnsi="仿宋" w:eastAsia="仿宋" w:cs="仿宋"/>
                <w:b w:val="0"/>
                <w:bCs w:val="0"/>
                <w:i w:val="0"/>
                <w:strike w:val="0"/>
                <w:color w:val="auto"/>
                <w:kern w:val="0"/>
                <w:sz w:val="24"/>
                <w:szCs w:val="24"/>
                <w:highlight w:val="none"/>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3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5.全流程电子化采购</w:t>
            </w:r>
          </w:p>
        </w:tc>
        <w:tc>
          <w:tcPr>
            <w:tcW w:w="6318"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before="0" w:beforeAutospacing="0" w:after="0" w:afterAutospacing="0" w:line="360" w:lineRule="auto"/>
              <w:ind w:left="0" w:right="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在依法建设和运行的电子交易平台开展采购活动，实施全流程电子化采购。</w:t>
            </w:r>
          </w:p>
          <w:p>
            <w:pPr>
              <w:keepNext w:val="0"/>
              <w:keepLines w:val="0"/>
              <w:widowControl/>
              <w:suppressLineNumbers w:val="0"/>
              <w:spacing w:before="0" w:beforeAutospacing="0" w:after="0" w:afterAutospacing="0" w:line="360" w:lineRule="auto"/>
              <w:ind w:left="0" w:right="0" w:firstLine="480" w:firstLineChars="20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sz w:val="24"/>
                <w:szCs w:val="24"/>
                <w:lang w:val="en-US" w:eastAsia="zh-CN"/>
              </w:rPr>
              <w:t>在电子招投标活动中电子投标文件的提交与审核环节上建立监控机制,撰写采购文件时对于法律法规暂未约定但电子招设标活动实践中可能存在的串标情形,在法律允许的范围内事先故好预案。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3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6.采购代理</w:t>
            </w:r>
            <w:r>
              <w:rPr>
                <w:rFonts w:hint="eastAsia" w:ascii="仿宋" w:hAnsi="仿宋" w:eastAsia="仿宋" w:cs="仿宋"/>
                <w:sz w:val="24"/>
                <w:szCs w:val="24"/>
                <w:lang w:val="en-US" w:eastAsia="zh-CN"/>
              </w:rPr>
              <w:t>服务方案</w:t>
            </w:r>
          </w:p>
        </w:tc>
        <w:tc>
          <w:tcPr>
            <w:tcW w:w="6318"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before="0" w:beforeAutospacing="0" w:after="0" w:afterAutospacing="0" w:line="360" w:lineRule="auto"/>
              <w:ind w:left="0" w:right="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提供采购代理服务方案（包括但不限于采购项目</w:t>
            </w:r>
            <w:r>
              <w:rPr>
                <w:rFonts w:hint="eastAsia" w:ascii="仿宋" w:hAnsi="仿宋" w:eastAsia="仿宋" w:cs="仿宋"/>
                <w:color w:val="auto"/>
                <w:kern w:val="2"/>
                <w:sz w:val="24"/>
                <w:szCs w:val="24"/>
                <w:highlight w:val="none"/>
                <w:lang w:val="en-US" w:eastAsia="zh-CN" w:bidi="ar-SA"/>
              </w:rPr>
              <w:t>服务承诺、质量控制、质疑处理预案、文件编制与审查、应急处理、</w:t>
            </w:r>
            <w:r>
              <w:rPr>
                <w:rFonts w:hint="eastAsia" w:ascii="仿宋" w:hAnsi="仿宋" w:eastAsia="仿宋" w:cs="仿宋"/>
                <w:sz w:val="24"/>
                <w:szCs w:val="24"/>
                <w:lang w:val="en-US" w:eastAsia="zh-CN"/>
              </w:rPr>
              <w:t>风险控制、其他增值服务、</w:t>
            </w:r>
            <w:r>
              <w:rPr>
                <w:rFonts w:hint="eastAsia" w:ascii="仿宋" w:hAnsi="仿宋" w:eastAsia="仿宋" w:cs="仿宋"/>
                <w:b w:val="0"/>
                <w:bCs w:val="0"/>
                <w:i w:val="0"/>
                <w:iCs w:val="0"/>
                <w:color w:val="000000"/>
                <w:sz w:val="24"/>
                <w:szCs w:val="24"/>
                <w:u w:val="none"/>
                <w:lang w:val="en-US" w:eastAsia="zh-CN"/>
              </w:rPr>
              <w:t>全流程电子化采购</w:t>
            </w:r>
            <w:r>
              <w:rPr>
                <w:rFonts w:hint="eastAsia" w:ascii="仿宋" w:hAnsi="仿宋" w:eastAsia="仿宋" w:cs="仿宋"/>
                <w:sz w:val="24"/>
                <w:szCs w:val="24"/>
                <w:lang w:val="en-US" w:eastAsia="zh-CN"/>
              </w:rPr>
              <w:t>等）。</w:t>
            </w:r>
          </w:p>
        </w:tc>
      </w:tr>
    </w:tbl>
    <w:p>
      <w:pPr>
        <w:numPr>
          <w:ilvl w:val="0"/>
          <w:numId w:val="0"/>
        </w:numPr>
        <w:spacing w:line="360" w:lineRule="auto"/>
        <w:jc w:val="left"/>
        <w:rPr>
          <w:rFonts w:hint="eastAsia" w:ascii="宋体" w:hAnsi="宋体" w:eastAsia="宋体" w:cs="宋体"/>
          <w:b/>
          <w:bCs/>
          <w:color w:val="auto"/>
          <w:kern w:val="2"/>
          <w:sz w:val="24"/>
          <w:szCs w:val="24"/>
          <w:highlight w:val="none"/>
          <w:lang w:val="en-US" w:eastAsia="zh-CN"/>
        </w:rPr>
      </w:pPr>
    </w:p>
    <w:p>
      <w:pPr>
        <w:numPr>
          <w:ilvl w:val="0"/>
          <w:numId w:val="0"/>
        </w:numPr>
        <w:spacing w:line="360" w:lineRule="auto"/>
        <w:rPr>
          <w:rFonts w:hint="default" w:ascii="方正小标宋简体" w:hAnsi="方正小标宋简体" w:eastAsia="方正小标宋简体" w:cs="方正小标宋简体"/>
          <w:b w:val="0"/>
          <w:bCs/>
          <w:color w:val="auto"/>
          <w:kern w:val="0"/>
          <w:sz w:val="24"/>
          <w:szCs w:val="24"/>
          <w:highlight w:val="none"/>
          <w:lang w:val="en-US" w:eastAsia="zh-CN"/>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p>
    <w:p>
      <w:pPr>
        <w:spacing w:line="360" w:lineRule="auto"/>
        <w:ind w:firstLine="672" w:firstLineChars="210"/>
        <w:jc w:val="center"/>
        <w:rPr>
          <w:rFonts w:hint="eastAsia" w:ascii="方正小标宋简体" w:hAnsi="方正小标宋简体" w:eastAsia="方正小标宋简体" w:cs="方正小标宋简体"/>
          <w:b w:val="0"/>
          <w:bCs/>
          <w:color w:val="auto"/>
          <w:kern w:val="0"/>
          <w:sz w:val="32"/>
          <w:szCs w:val="32"/>
          <w:highlight w:val="none"/>
        </w:rPr>
      </w:pPr>
      <w:r>
        <w:rPr>
          <w:rFonts w:hint="eastAsia" w:ascii="方正小标宋简体" w:hAnsi="方正小标宋简体" w:eastAsia="方正小标宋简体" w:cs="方正小标宋简体"/>
          <w:b w:val="0"/>
          <w:bCs/>
          <w:color w:val="auto"/>
          <w:kern w:val="0"/>
          <w:sz w:val="32"/>
          <w:szCs w:val="32"/>
          <w:highlight w:val="none"/>
        </w:rPr>
        <w:t>第三部分  供应商须知</w:t>
      </w:r>
    </w:p>
    <w:p>
      <w:pPr>
        <w:pStyle w:val="14"/>
        <w:adjustRightInd w:val="0"/>
        <w:snapToGrid w:val="0"/>
        <w:spacing w:line="380" w:lineRule="exact"/>
        <w:rPr>
          <w:rFonts w:hint="eastAsia" w:ascii="仿宋" w:hAnsi="仿宋" w:eastAsia="仿宋" w:cs="仿宋"/>
          <w:color w:val="auto"/>
          <w:sz w:val="28"/>
          <w:szCs w:val="28"/>
          <w:highlight w:val="none"/>
        </w:rPr>
      </w:pPr>
    </w:p>
    <w:p>
      <w:pPr>
        <w:pStyle w:val="14"/>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  明</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（一）适用范围：</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本比选文件适用于本比选邀请函中所述项目的院内采购项目。</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（二）名称的定义</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lang w:eastAsia="zh-CN"/>
        </w:rPr>
        <w:t>惠州市职业病防治院</w:t>
      </w:r>
      <w:r>
        <w:rPr>
          <w:rFonts w:hint="eastAsia" w:ascii="仿宋" w:hAnsi="仿宋" w:eastAsia="仿宋" w:cs="仿宋"/>
          <w:color w:val="auto"/>
          <w:sz w:val="24"/>
          <w:szCs w:val="24"/>
          <w:highlight w:val="none"/>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“监督部门”是指：惠</w:t>
      </w:r>
      <w:r>
        <w:rPr>
          <w:rFonts w:hint="eastAsia" w:ascii="仿宋" w:hAnsi="仿宋" w:eastAsia="仿宋" w:cs="仿宋"/>
          <w:color w:val="auto"/>
          <w:sz w:val="24"/>
          <w:szCs w:val="24"/>
          <w:highlight w:val="none"/>
          <w:lang w:eastAsia="zh-CN"/>
        </w:rPr>
        <w:t>州市职业病防治院监督小组</w:t>
      </w:r>
      <w:r>
        <w:rPr>
          <w:rFonts w:hint="eastAsia" w:ascii="仿宋" w:hAnsi="仿宋" w:eastAsia="仿宋" w:cs="仿宋"/>
          <w:color w:val="auto"/>
          <w:sz w:val="24"/>
          <w:szCs w:val="24"/>
          <w:highlight w:val="none"/>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合格的响应供应商是指符合以下条件的： </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1）符合比选文件规定的“供应商资格要求”；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hr-HR"/>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hr-HR"/>
        </w:rPr>
        <w:t>按要求进行了资格预审并通过；</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“成交供应商”是指经法定程序确定并授予合同的响应供应商；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（三）合格的货物、工程和服务：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货物”是指响应供应商制造或组织符合比选文件要求的货物等。响应的货物必须是其合法生产的符合国家有关标准要求的货物，并满足我院比选文件规定的规格、参数、质量、价格、有效期、售后服务等要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2.“工程”是指满足国家相关法律法规、规章等规定，并符合本项目相关质量要求、安全文明施工要求的工程。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3.“服务”是指除货物和工程以外的采购对象，其中包括：响应供应商需承担的运输、安装、技术支持、培训以及比选文件规定的其他服务。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（四）响应供应商不得恶意竞价：</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于报价差异巨大的，评审小组有权要求响应供应商在规定的时间内提供相关证明材料，规定时间内不能提供材料或者无法证明的，评审小组有权裁定该报价是否为恶意竞价。恶意竞价的响应供应商将被取消成交资格，并列入黑名单，在此后三年内不得参与我院任何采买活动。如出现多家报价差异巨大，评审小组有权对各报价进行核查判定是否报价合理并有权否决比选评审项目及要求预算价发回重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（五）有下列情形之一的，视为供应商互相串通报价，其报价或响应无效：</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1.不同供应商委托同一单位或个人办理报价事宜；</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2.不同供应商的报价文件出现同一公章或者签字的；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3.不同供应商的响应文件载明的项目管理成员或者联系人员为同一人；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4.不同供应商的响应文件相互混装。</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（六）供应商有下列弄虚作假的行为的，不得报名或响应无效：</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1.使用伪造、变造的许可证件；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2.提供虚假的财务状况或者业绩；</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3.提供虚假的项目负责人或者主要技术人员简历、劳动关系证明；</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4.提供虚假的信用状况；</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5.响应文件或报价文件的签名为代签或冒签的；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6.被授权人委托他人提交响应文件的，无委托书的。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（七）“★”号条款：必须实质响应的条款，响应供应商不可偏离，负偏离将导致技术分不得分，评审时认定为响应无效。“▲”号条款：可以偏离的响应条款，将影响响应供应商的技术得分。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（八）响应文件自响应文件接收截止时点起，三个月内有效。</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（九）以下情形，拒收响应文件：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1.逾期送达；</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2.未按比选文件要求密封。</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（十）有下列情形，评审小组将否决其响应：</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1.响应文件未经响应单位盖章和法人或单位负责人签字；</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2.响应联合体没有提交共同响应协议；</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3.同一响应供应商提交两个以上不同的响应文件或者响应报价，比选文件要求提交备选响应的除外；</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4.响应报价低于成本或者高于比选最高响应限价的；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5.响应文件没有对比选文件的实质性要求和条件作出响应的，评审小组认为明显不符合评审要求的技术规格、技术标准、采购数量；</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6.响应供应商有串通响应、弄虚作假等违法行为的；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7.比选现场存在争议的。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（十一）供应商在参加比选过程中出现的以下不良行为的，将列入我院黑名单管理，在此后的三年内不得参与我院任何采买活动：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1.远低于成本价恶意竞价（无法提供合理成本清单的）或提供虚假材料谋求成交的；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2.采取不正当手段诋毁、排挤其他潜在供应商的；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3.与其他潜在供应商恶意串通的；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4.随意申请撤换或放弃成交结果的；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5.成交后无正当理由拒绝或迟迟不签订采购合同的；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6.成交后，超过合同约定的供货（或服务）时间未按要求执行，给采购人造成损害的；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7.在比选采购过程中，与相关部门协商谈判的；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8.向医院涉及的相关部门行贿或者提供不正当利益的；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9.拒绝有关部门监督检查或者提供虚假情况的；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10.无正当理由拒绝履行合同和有关承诺，或擅自变更、中止（终止）采购合同的；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11.提供假冒伪劣产品或走私物品的；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12.不遵守比选现场纪律，扰乱评审现场，影响采购活动继续进行的；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13.采购后擅自撤回采购相应文件，影响采购活动继续进行的；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14.成交后，擅自将采购合同转包或分包给其他供应商的；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15.不按比选、响应文件的要求和承诺执行或擅自降低响应承诺的产品质量和售后服务或以次充好、偷工减料的；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16.实际提供的有关产品性能指选和技术服务能力明显低于采购响应文件时的承诺的；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17.2年内有一次以上投诉查无实据、捏造事实或者提供虚假投诉材料的；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18.累计两次供应商履约诚信量化评价得分不合格的供应商的；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19.2年内累计达两次报名成功后未按规定提前一天发函告知不参加比选的。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（十二）响应供应商在响应比选文件中必须列出具体数值，如果响应供应商只注明“差不多”“接近”等不明确表述，或擅自修改比选文件的比选技术、商务等要求的将导致评审小组拒绝其响应。</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二、比选文件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（一）供应商应在收到比选文件后，仔细阅读，有疑问的应在报名有效工作时间内提出质疑。在规定的时间内未对比选文件要求澄清或提出疑问的，我院将视其为无异议，不再接受对比选文件内容的质疑。 </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（二）要求供应商报名后应参加比选，报名后不参加比选的应在提交比选文件截止时间前一天前致函我院采供部说明情况。如未致函说明者，将记不良行为一次，2年累计达两次者将被列入黑名单。</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三、响应文件的编制和数量</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（一）比选报价</w:t>
      </w:r>
    </w:p>
    <w:p>
      <w:pPr>
        <w:pStyle w:val="14"/>
        <w:numPr>
          <w:ilvl w:val="0"/>
          <w:numId w:val="0"/>
        </w:numPr>
        <w:autoSpaceDE/>
        <w:autoSpaceDN/>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比选供应商应按照“采购需求”</w:t>
      </w:r>
      <w:r>
        <w:rPr>
          <w:rFonts w:hint="eastAsia" w:ascii="仿宋" w:hAnsi="仿宋" w:eastAsia="仿宋" w:cs="仿宋"/>
          <w:color w:val="auto"/>
          <w:sz w:val="24"/>
          <w:szCs w:val="24"/>
          <w:highlight w:val="none"/>
        </w:rPr>
        <w:t>中</w:t>
      </w:r>
      <w:r>
        <w:rPr>
          <w:rFonts w:hint="eastAsia" w:ascii="仿宋" w:hAnsi="仿宋" w:eastAsia="仿宋" w:cs="仿宋"/>
          <w:color w:val="auto"/>
          <w:sz w:val="24"/>
          <w:szCs w:val="24"/>
          <w:highlight w:val="none"/>
          <w:lang w:eastAsia="zh-CN"/>
        </w:rPr>
        <w:t>采购项目技术规格、参数及要求规定的内容、责任范围进行报价。并按《比选</w:t>
      </w:r>
      <w:r>
        <w:rPr>
          <w:rFonts w:hint="eastAsia" w:ascii="仿宋" w:hAnsi="仿宋" w:eastAsia="仿宋" w:cs="仿宋"/>
          <w:color w:val="auto"/>
          <w:sz w:val="24"/>
          <w:szCs w:val="24"/>
          <w:highlight w:val="none"/>
        </w:rPr>
        <w:t>一览表(报价表)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及</w:t>
      </w:r>
      <w:r>
        <w:rPr>
          <w:rFonts w:hint="eastAsia" w:ascii="仿宋" w:hAnsi="仿宋" w:eastAsia="仿宋" w:cs="仿宋"/>
          <w:color w:val="auto"/>
          <w:sz w:val="24"/>
          <w:szCs w:val="24"/>
          <w:highlight w:val="none"/>
          <w:lang w:eastAsia="zh-CN"/>
        </w:rPr>
        <w:t>《比选分项报价表》（如适用）的</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报出总价和分项价格。比选供应商按</w:t>
      </w:r>
      <w:r>
        <w:rPr>
          <w:rFonts w:hint="eastAsia" w:ascii="仿宋" w:hAnsi="仿宋" w:eastAsia="仿宋" w:cs="仿宋"/>
          <w:color w:val="auto"/>
          <w:sz w:val="24"/>
          <w:szCs w:val="24"/>
          <w:highlight w:val="none"/>
        </w:rPr>
        <w:t>采购文件</w:t>
      </w:r>
      <w:r>
        <w:rPr>
          <w:rFonts w:hint="eastAsia" w:ascii="仿宋" w:hAnsi="仿宋" w:eastAsia="仿宋" w:cs="仿宋"/>
          <w:color w:val="auto"/>
          <w:sz w:val="24"/>
          <w:szCs w:val="24"/>
          <w:highlight w:val="none"/>
          <w:lang w:eastAsia="zh-CN"/>
        </w:rPr>
        <w:t>的要求报出全部货物及服务内容所需的所有费用，</w:t>
      </w:r>
      <w:r>
        <w:rPr>
          <w:rFonts w:hint="eastAsia" w:ascii="仿宋" w:hAnsi="仿宋" w:eastAsia="仿宋" w:cs="仿宋"/>
          <w:color w:val="auto"/>
          <w:sz w:val="24"/>
          <w:szCs w:val="24"/>
          <w:highlight w:val="none"/>
        </w:rPr>
        <w:t>在合同履行过程中，采购</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不再支付除合同金额以外的费用</w:t>
      </w:r>
      <w:r>
        <w:rPr>
          <w:rFonts w:hint="eastAsia" w:ascii="仿宋" w:hAnsi="仿宋" w:eastAsia="仿宋" w:cs="仿宋"/>
          <w:color w:val="auto"/>
          <w:sz w:val="24"/>
          <w:szCs w:val="24"/>
          <w:highlight w:val="none"/>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比选供应商</w:t>
      </w:r>
      <w:r>
        <w:rPr>
          <w:rFonts w:hint="eastAsia" w:ascii="仿宋" w:hAnsi="仿宋" w:eastAsia="仿宋" w:cs="仿宋"/>
          <w:color w:val="auto"/>
          <w:sz w:val="24"/>
          <w:szCs w:val="24"/>
          <w:highlight w:val="none"/>
          <w:lang w:val="en-US" w:eastAsia="zh-CN"/>
        </w:rPr>
        <w:t>所提供的货物和服务均应以人民币报价，若同时以人民币及外币报价的，以人民币报价为准。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2.报价应为</w:t>
      </w:r>
      <w:r>
        <w:rPr>
          <w:rFonts w:hint="eastAsia" w:ascii="仿宋" w:hAnsi="仿宋" w:eastAsia="仿宋" w:cs="仿宋"/>
          <w:color w:val="auto"/>
          <w:sz w:val="24"/>
          <w:szCs w:val="24"/>
          <w:highlight w:val="none"/>
          <w:lang w:eastAsia="zh-CN"/>
        </w:rPr>
        <w:t>比选供应商</w:t>
      </w:r>
      <w:r>
        <w:rPr>
          <w:rFonts w:hint="eastAsia" w:ascii="仿宋" w:hAnsi="仿宋" w:eastAsia="仿宋" w:cs="仿宋"/>
          <w:color w:val="auto"/>
          <w:sz w:val="24"/>
          <w:szCs w:val="24"/>
          <w:highlight w:val="none"/>
          <w:lang w:val="en-US" w:eastAsia="zh-CN"/>
        </w:rPr>
        <w:t>完成本项目全部内容所需费用的含税价（包括但不限于人工、保险、伴随服务、拟投入工具及材料、各类税费以及采购合同包含的所有风险、责任等各项应有费用）。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（二）只允许供应商有一个响应方案，否则将被视为无效响应。（比选文件允许有备选方案的除外）。</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（三）本项目不接受联合体比选。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（四）供应商资格证明文件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（五）供应商应按比选文件的要求，提交证明其有资格参加比选和成交后有履行合同能力的文件，并作为其响应文件的组成部分，包括但不限于《资格性及符合性审查表》中所列要求。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（六）资格证明文件必须真实有效，复印件必须加盖单位印章。</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供应商应编制响应文件一式三份，其中正本一份和副本二份，响应文件的副本可采用正本的复印件。每本响应文件须清楚地选明“正本”“副本”，否则响应无效。若副本与正本不符，以正本为准。响应文件密封在同一个文件袋内，响应的截止时点（北京时间），超过截止时点后的响应视为响应无效。</w:t>
      </w:r>
    </w:p>
    <w:p>
      <w:pPr>
        <w:pStyle w:val="14"/>
        <w:numPr>
          <w:ilvl w:val="0"/>
          <w:numId w:val="0"/>
        </w:numPr>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（八）响应文件由法定代表人或经其正式授权的代表签字。授权代表须出具书面授权证明，法人证明及法人授权证明均应在响应文件中提供（格式见附件）。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（九）响应文件中的任何重要的插字、涂改和增删，必须由法定代表人或经其正式授权的代表在旁边加盖公章或签字才有效。</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（十）响应文件每一页均须加盖单位印章。</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四、响应文件的递交</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（一）供应商应响应文件密封包装后提交，封口处加盖公章。未按要求密封和选记的，我院对误投或提前启封概不负责。</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（二）采购单位在《比选邀请函》中规定的地点和响应截止时间之前接收响应文件，超过截止时间后的响应为无效响应，采购单位将拒绝接收。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撤回。</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（四）响应供应商按规定时间递交比选响应文件，原则上要求法人或被授权人代表前来递交比选响应文件。经采购办工作人员及院监督小组确认比选响应文件密封完好无损后，响应供应商代表签名确认后即可离开</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（五）供应商所提交的响应文件在比选结束后，无论成交与否都不予退还。</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lang w:eastAsia="zh-CN"/>
        </w:rPr>
        <w:t>项目终止条件与处理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（一）在采购中，出现下列情形之一的，应予终止：</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1.符合专业条件的供应商或者对比选文件作实质响应的供应商不足八家的；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2.出现影响采购公正的违法、违规行为的；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3.供应商的报价均超过了采购预算，采购人不能支付的；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4.因重大变故，采购任务取消的。</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5.比选失败后，除采购任务取消情形外，应当重新组织比选。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lang w:eastAsia="zh-CN"/>
        </w:rPr>
        <w:t>、公示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评审完成确定成交供应商后，采购办发布成交公告，并向成交人发出《成交通知书》。</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七、询问、质疑与投诉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（一）询问</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响应供应商对采购活动事项（比选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比选邀请函》中“采购人、采购代理机构的名称、地址和联系方式”。</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（二）质疑</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认为比选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(1)对比选文件提出质疑的，为获取比选文件之日或者比选文件公告期限届满之日；</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(2)对采购过程提出质疑的，为各采购程序环节结束之日；</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(3)对中标结果提出质疑的，为中标结果公告期限届满之日。</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2.质疑函应当包括下列主要内容：</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(1)质疑供应商和相关供应商的名称、地址、邮编、联系人及联系电话等；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(2)质疑项目名称及编号、具体明确的质疑事项和与质疑事项相关的请求；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(3)认为采购文件、采购过程、中标和成交结果使自己的合法权益受到损害的法律依据、事实依据、相关证明材料及证据来源；</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(4)提出质疑的日期。</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3.质疑函应当署名。质疑供应商为自然人的，应当由本人签字；质疑供应商为法人或者其他组织的，应当由法定代表人、主要负责人，或者其授权代表签字或者盖章，并加盖公章。</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4.以联合体形式参加政府采购活动的，其质疑应当由联合体成员委托主体提出。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6.质疑联系方式如下：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质疑联系人：曾小姐</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电话：0752-2389763</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地址：惠州市惠城区鹅岭北路横街12号</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邮编：516001</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（1）供应商对采购办的质疑答复不满意或在规定时间内未得到答复的，可以在答复期满后15个工作日内，按如下联系方式向医院纪检部门提出书面投诉。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（2）纪检监督部门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电话：0752-2389369</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地址：广东省惠州市惠城区鹅岭北路横街7号四号楼1楼 </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4.质疑供应商未按以上规定进行质疑的，采购办将不予接收。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5.供应商捏造事实、提供虚假材料或者以非法手段取得证明材料进行质疑或投诉的，予以驳回，并列入黑名单。</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6.采购办受理质疑后，质疑人书面申请撤回质疑的，应当终止质疑处理程序。</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7.同一供应商不能对同一事项重复质疑。</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lang w:eastAsia="zh-CN"/>
        </w:rPr>
        <w:t>、合同的订立和履行</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1.合同的订立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与成交供应商自成交通知书发出之日起三十日内，按比选文件要求和成交人响应文件承诺签订采购合同。未按规定时间签订合同的，视为主动放弃成交资格。但不得超出比选文件和成交供应商响应文件的范围，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2.合同的履行</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（1）采购合同订立后，合同双方不得擅自变更、中止或者终止合同。合同确需要变更的，应以书面形式报采购办审批。</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（2）采购合同履行中，采购人需追加与合同选的相同的货物、工程或者服务的，在不改变合同实质条款的前提下，可以与成交供应商签订补充合同，但所补充合同的采购金额不得超过原采购金额的百分之十。</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lang w:eastAsia="zh-CN"/>
        </w:rPr>
        <w:t>、适用法律及规定</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1.采购单位及供应商的一切采购活动均参考《中华人民共和国政府采购法》及院内的采购制度。</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单位负责人为同一人或者存在直接控股、管理关系的不同供应商，不得参加同一合同项下的采购活动。为采购项目提供整体设计、规范编制或者项目管理、监理、检测等服务的供应商，不得再参加该采购项目的其他采购活动。存在以上情形的供应商应主动予以回避，否则自行承担相应的法律责任及后果。</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小标宋简体" w:hAnsi="方正小标宋简体" w:eastAsia="方正小标宋简体" w:cs="方正小标宋简体"/>
          <w:b w:val="0"/>
          <w:bCs/>
          <w:color w:val="auto"/>
          <w:kern w:val="0"/>
          <w:sz w:val="32"/>
          <w:szCs w:val="32"/>
          <w:highlight w:val="none"/>
          <w:lang w:val="en-US" w:eastAsia="zh-CN"/>
        </w:rPr>
      </w:pPr>
      <w:r>
        <w:rPr>
          <w:rFonts w:hint="eastAsia" w:ascii="方正小标宋简体" w:hAnsi="方正小标宋简体" w:eastAsia="方正小标宋简体" w:cs="方正小标宋简体"/>
          <w:b w:val="0"/>
          <w:bCs/>
          <w:color w:val="auto"/>
          <w:kern w:val="0"/>
          <w:sz w:val="32"/>
          <w:szCs w:val="32"/>
          <w:highlight w:val="none"/>
        </w:rPr>
        <w:t>第</w:t>
      </w:r>
      <w:r>
        <w:rPr>
          <w:rFonts w:hint="eastAsia" w:ascii="方正小标宋简体" w:hAnsi="方正小标宋简体" w:eastAsia="方正小标宋简体" w:cs="方正小标宋简体"/>
          <w:b w:val="0"/>
          <w:bCs/>
          <w:color w:val="auto"/>
          <w:kern w:val="0"/>
          <w:sz w:val="32"/>
          <w:szCs w:val="32"/>
          <w:highlight w:val="none"/>
          <w:lang w:val="en-US" w:eastAsia="zh-CN"/>
        </w:rPr>
        <w:t>四</w:t>
      </w:r>
      <w:r>
        <w:rPr>
          <w:rFonts w:hint="eastAsia" w:ascii="方正小标宋简体" w:hAnsi="方正小标宋简体" w:eastAsia="方正小标宋简体" w:cs="方正小标宋简体"/>
          <w:b w:val="0"/>
          <w:bCs/>
          <w:color w:val="auto"/>
          <w:kern w:val="0"/>
          <w:sz w:val="32"/>
          <w:szCs w:val="32"/>
          <w:highlight w:val="none"/>
        </w:rPr>
        <w:t xml:space="preserve">部分  </w:t>
      </w:r>
      <w:r>
        <w:rPr>
          <w:rFonts w:hint="eastAsia" w:ascii="方正小标宋简体" w:hAnsi="方正小标宋简体" w:eastAsia="方正小标宋简体" w:cs="方正小标宋简体"/>
          <w:b w:val="0"/>
          <w:bCs/>
          <w:color w:val="auto"/>
          <w:kern w:val="0"/>
          <w:sz w:val="32"/>
          <w:szCs w:val="32"/>
          <w:highlight w:val="none"/>
          <w:lang w:val="en-US" w:eastAsia="zh-CN"/>
        </w:rPr>
        <w:t>评审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一、评审要求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综合评分法,是指响应文件满足比选文件全部实质性要求，且按照评审因素的量化指标评审得分最高的响应供应商为中选候选人的评审方法。（最低报价不是中选的唯一依据。）</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（二）评审原则</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1.评审活动遵循公平、公正、科学和择优的原则，以比选文件和响应文件为评审的基本依据，并按照比选文件规定的评审方法和评审标准进行评审。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2.具体评审事项由评审委员会负责，并按比选文件的规定办法进行评审。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3.合格响应供应商不足须知前附表中约定的有效供应商家数的，不得评审。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（三）评审小组的组成</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w:t>
      </w:r>
      <w:bookmarkStart w:id="6" w:name="OLE_LINK6"/>
      <w:r>
        <w:rPr>
          <w:rFonts w:hint="eastAsia" w:ascii="仿宋" w:hAnsi="仿宋" w:eastAsia="仿宋" w:cs="仿宋"/>
          <w:color w:val="auto"/>
          <w:sz w:val="24"/>
          <w:szCs w:val="24"/>
          <w:highlight w:val="none"/>
          <w:lang w:val="en-US" w:eastAsia="zh-CN"/>
        </w:rPr>
        <w:t>审</w:t>
      </w:r>
      <w:bookmarkEnd w:id="6"/>
      <w:r>
        <w:rPr>
          <w:rFonts w:hint="eastAsia" w:ascii="仿宋" w:hAnsi="仿宋" w:eastAsia="仿宋" w:cs="仿宋"/>
          <w:color w:val="auto"/>
          <w:sz w:val="24"/>
          <w:szCs w:val="24"/>
          <w:highlight w:val="none"/>
          <w:lang w:val="en-US" w:eastAsia="zh-CN"/>
        </w:rPr>
        <w:t>小组</w:t>
      </w:r>
      <w:bookmarkStart w:id="7" w:name="OLE_LINK9"/>
      <w:r>
        <w:rPr>
          <w:rFonts w:hint="eastAsia" w:ascii="仿宋" w:hAnsi="仿宋" w:eastAsia="仿宋" w:cs="仿宋"/>
          <w:color w:val="auto"/>
          <w:sz w:val="24"/>
          <w:szCs w:val="24"/>
          <w:highlight w:val="none"/>
          <w:lang w:val="en-US" w:eastAsia="zh-CN"/>
        </w:rPr>
        <w:t>按院内规定从专家库中随机抽取三名专家组成。</w:t>
      </w:r>
      <w:bookmarkEnd w:id="7"/>
      <w:r>
        <w:rPr>
          <w:rFonts w:hint="eastAsia" w:ascii="仿宋" w:hAnsi="仿宋" w:eastAsia="仿宋" w:cs="仿宋"/>
          <w:color w:val="auto"/>
          <w:sz w:val="24"/>
          <w:szCs w:val="24"/>
          <w:highlight w:val="none"/>
          <w:lang w:val="en-US" w:eastAsia="zh-CN"/>
        </w:rPr>
        <w:t>评审小组将本着公平、公正、科学、择优的原则，严格按照院内采购管理实施细则和比选文件的要求进行评审及推荐成交人。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（四）确定候选供应商方法</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1.入围资格：该项目响应供应商提交的响应文件数量或经评选委员会进行资格性、符合性审查后响应文件数量不少于8 家。有效响应文件数量不满足8家的，将予以废选并重新组织下一次比选。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2.中选（成交）供应商的数量：该项目中选（成交）供应商的数量设置为6名，推荐中选候选供应商的数量设置为8名。</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3.评审、确定中选（成交）供应商方法：采用综合评分法，评审专家依据评审后总得分由高到低的顺序推荐8家响应供应商作为候选供应商。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4.提供相同品牌产品且通过资格审查、符合性审查的不同供应商参加同一项目的，按一家供应商计算，评审后得分最高的同品牌供应商获得中选推荐资格，其他同品牌供应商不作为中选候选人。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（五）定选方法</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办根据评审小组依法推荐的中选候选人名单、评审报告等相关资料提交党委会（或院办会）决议确定中选供应商。采购办按相关流程公示中选结果并通知对接签订采购合同相关事宜。如果中选供应商放弃或未在规定时间签合同的，采购人可以按照候选供应商名单排名顺序依次确定其他候选供应商为中选供应商，也可以重新院内比选。</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eastAsia="zh-CN"/>
        </w:rPr>
        <w:t>、评审步骤</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（一）宣读评审纪律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1.评审专家签到后，采购办在评审开始前宣读评审纪律及比选文件说明。</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2.评审专家有下列情形之一的，受到邀请应主动提出回避，采购当事人也可以要求该评审专家回避：</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7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3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7825" w:type="dxa"/>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3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3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34"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3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34"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3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34"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3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34"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3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34"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3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34"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评审小组中，同一任职科室评审专家超过二名的；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3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34"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参与比选文件或进口产品论证的（不含采购人代表）；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3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34"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3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p>
        </w:tc>
        <w:tc>
          <w:tcPr>
            <w:tcW w:w="7825"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34"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法律法规、规章规定应当回避以及其他可能影响公正评审的。</w:t>
            </w:r>
          </w:p>
        </w:tc>
      </w:tr>
    </w:tbl>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（二）推荐评审小组组长</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组按照少数服从多数的原则推荐组长。评审小组成员在履行独立评审权利义务的同时，不得发表有失公正和不负责任的言论，不得相互串通和压制他人意见，不得将个人倾向性意见诱导、暗示或强加于他人认同。</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bookmarkStart w:id="8" w:name="OLE_LINK5"/>
      <w:r>
        <w:rPr>
          <w:rFonts w:hint="eastAsia" w:ascii="仿宋" w:hAnsi="仿宋" w:eastAsia="仿宋" w:cs="仿宋"/>
          <w:b/>
          <w:bCs/>
          <w:color w:val="auto"/>
          <w:sz w:val="24"/>
          <w:szCs w:val="24"/>
          <w:highlight w:val="none"/>
          <w:lang w:val="en-US" w:eastAsia="zh-CN"/>
        </w:rPr>
        <w:t>（三）响应文件的资格性审查</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资格性审查内容主要为对响应文件的响应函、法定代表人/负责人资格证明书及授权委托书、准入条件和供应商的合格性、要求实质性响应的技术要求、商务要求及报价的唯一性等，审查不合格者按无效响应处理。只有资格性全部审查合格才能进入后续评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评审委员会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供应商不接受对其错误的更正，将被视为响应无效。</w:t>
      </w:r>
      <w:bookmarkEnd w:id="8"/>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表一、资格性审查表</w:t>
      </w:r>
    </w:p>
    <w:tbl>
      <w:tblPr>
        <w:tblStyle w:val="31"/>
        <w:tblW w:w="9045"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591"/>
        <w:gridCol w:w="5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序号</w:t>
            </w:r>
          </w:p>
        </w:tc>
        <w:tc>
          <w:tcPr>
            <w:tcW w:w="8400" w:type="dxa"/>
            <w:gridSpan w:val="2"/>
            <w:noWrap w:val="0"/>
            <w:vAlign w:val="top"/>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资格性审查</w:t>
            </w:r>
            <w:r>
              <w:rPr>
                <w:rFonts w:hint="eastAsia" w:ascii="仿宋" w:hAnsi="仿宋" w:eastAsia="仿宋" w:cs="仿宋"/>
                <w:b/>
                <w:bCs/>
                <w:color w:val="auto"/>
                <w:sz w:val="24"/>
                <w:szCs w:val="24"/>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6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default"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中华人民共和国境内注册的法人或其他组织或自然人，比选响应时提交有效的营业执照（或事业法人登记证或身份证等相关证明）副本复印件。分支机构投选的，须提供总公司和分公司营业执照副本复印件，总公司出具给分支机构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有依法缴纳税收和社会保障资金的良好记录</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提供</w:t>
            </w:r>
            <w:r>
              <w:rPr>
                <w:rFonts w:hint="eastAsia" w:ascii="仿宋" w:hAnsi="仿宋" w:eastAsia="仿宋" w:cs="仿宋"/>
                <w:kern w:val="0"/>
                <w:sz w:val="24"/>
                <w:szCs w:val="24"/>
                <w:lang w:eastAsia="zh-CN"/>
              </w:rPr>
              <w:t>响应</w:t>
            </w:r>
            <w:r>
              <w:rPr>
                <w:rFonts w:hint="eastAsia" w:ascii="仿宋" w:hAnsi="仿宋" w:eastAsia="仿宋" w:cs="仿宋"/>
                <w:kern w:val="0"/>
                <w:sz w:val="24"/>
                <w:szCs w:val="24"/>
              </w:rPr>
              <w:t>截止日前 6 个月内任意 1 个月依法缴纳税收和社会保障资金的相关材料。如依法免税或不需要缴纳社会保障资金的，提供相应证明材料</w:t>
            </w:r>
            <w:r>
              <w:rPr>
                <w:rFonts w:hint="eastAsia" w:ascii="仿宋" w:hAnsi="仿宋" w:eastAsia="仿宋" w:cs="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1"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1"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健全的财务会计制度</w:t>
            </w:r>
          </w:p>
        </w:tc>
        <w:tc>
          <w:tcPr>
            <w:tcW w:w="580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default" w:ascii="仿宋" w:hAnsi="仿宋" w:eastAsia="仿宋" w:cs="仿宋"/>
                <w:color w:val="auto"/>
                <w:kern w:val="0"/>
                <w:sz w:val="24"/>
                <w:szCs w:val="24"/>
                <w:highlight w:val="none"/>
              </w:rPr>
            </w:pPr>
            <w:r>
              <w:rPr>
                <w:rFonts w:hint="eastAsia" w:ascii="仿宋" w:hAnsi="仿宋" w:eastAsia="仿宋" w:cs="仿宋"/>
                <w:kern w:val="0"/>
                <w:sz w:val="24"/>
                <w:szCs w:val="24"/>
                <w:lang w:val="en-US" w:eastAsia="zh-CN"/>
              </w:rPr>
              <w:t>（</w:t>
            </w:r>
            <w:r>
              <w:rPr>
                <w:rFonts w:hint="eastAsia" w:ascii="仿宋" w:hAnsi="仿宋" w:eastAsia="仿宋" w:cs="仿宋"/>
                <w:kern w:val="0"/>
                <w:sz w:val="24"/>
                <w:lang w:eastAsia="zh-CN"/>
              </w:rPr>
              <w:t>提供2024年度或</w:t>
            </w:r>
            <w:r>
              <w:rPr>
                <w:rFonts w:hint="eastAsia" w:ascii="仿宋" w:hAnsi="仿宋" w:eastAsia="仿宋" w:cs="仿宋"/>
                <w:kern w:val="0"/>
                <w:sz w:val="24"/>
                <w:lang w:val="en-US" w:eastAsia="zh-CN"/>
              </w:rPr>
              <w:t>2025年度</w:t>
            </w:r>
            <w:r>
              <w:rPr>
                <w:rFonts w:hint="eastAsia" w:ascii="仿宋" w:hAnsi="仿宋" w:eastAsia="仿宋" w:cs="仿宋"/>
                <w:kern w:val="0"/>
                <w:sz w:val="24"/>
                <w:lang w:eastAsia="zh-CN"/>
              </w:rPr>
              <w:t>财务状况报告或基本开户行出具的资信证明）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具有履行合同所必须的设备和专业技术能力</w:t>
            </w:r>
          </w:p>
        </w:tc>
        <w:tc>
          <w:tcPr>
            <w:tcW w:w="580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提供</w:t>
            </w:r>
            <w:r>
              <w:rPr>
                <w:rFonts w:hint="eastAsia" w:ascii="仿宋" w:hAnsi="仿宋" w:eastAsia="仿宋" w:cs="仿宋"/>
                <w:color w:val="auto"/>
                <w:kern w:val="0"/>
                <w:sz w:val="24"/>
                <w:szCs w:val="24"/>
              </w:rPr>
              <w:t>声明函，格式自拟）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参加采购活动前 3 年内，在经营活动中没有重大违法记录</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提供承诺函，格式自拟）</w:t>
            </w:r>
            <w:r>
              <w:rPr>
                <w:rFonts w:hint="eastAsia" w:ascii="仿宋" w:hAnsi="仿宋" w:eastAsia="仿宋" w:cs="仿宋"/>
                <w:kern w:val="0"/>
                <w:sz w:val="24"/>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仿宋"/>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落实政府采购政策需满足的资格要求</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采购包整体属于专门面向中小企业，需提交相应的证明文件。（中小企业声明函或监狱企业的证明文件或残疾人福利性单位声明函）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6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本项目特定的资格要求</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信用记录：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响应供应提供截图并加盖公章。以资格审查人员于比选（响应）截止时间当天在“信用中国”网站（www.creditchina.gov.cn）及中国政府采购网（http://www.ccgp.gov.cn/）查询结果为准，如相关失信记录已失效，供应商需提供相关证明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color w:val="auto"/>
                <w:kern w:val="0"/>
                <w:sz w:val="24"/>
                <w:szCs w:val="24"/>
                <w:highlight w:val="none"/>
                <w:lang w:val="en-US" w:eastAsia="zh-CN"/>
              </w:rPr>
              <w:t>（2）供应商必须符合法律、行政法规规定的其他条件：单位负责人为同一人或者存在直接控股、管理关系的不同供应商，不得同时参加本采购项目（或采购包）比选响应。为本项目提供整体设计、规范编制或者项目管理、监理、检测等服务的供应商，不得再参与本项目比选响应。</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提供</w:t>
            </w:r>
            <w:r>
              <w:rPr>
                <w:rFonts w:hint="eastAsia" w:ascii="仿宋" w:hAnsi="仿宋" w:eastAsia="仿宋" w:cs="仿宋"/>
                <w:kern w:val="0"/>
                <w:sz w:val="24"/>
                <w:szCs w:val="24"/>
              </w:rPr>
              <w:t>声明函，格式自拟）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3）满足《政府采购代理机构管理暂行办法》（财库〔2018〕2号）第十一条。</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提供</w:t>
            </w:r>
            <w:r>
              <w:rPr>
                <w:rFonts w:hint="eastAsia" w:ascii="仿宋" w:hAnsi="仿宋" w:eastAsia="仿宋" w:cs="仿宋"/>
                <w:kern w:val="0"/>
                <w:sz w:val="24"/>
                <w:szCs w:val="24"/>
              </w:rPr>
              <w:t>声明函，格式自拟）</w:t>
            </w:r>
          </w:p>
          <w:p>
            <w:pPr>
              <w:keepNext w:val="0"/>
              <w:keepLines w:val="0"/>
              <w:widowControl w:val="0"/>
              <w:suppressLineNumbers w:val="0"/>
              <w:shd w:val="clear" w:color="auto" w:fill="auto"/>
              <w:kinsoku/>
              <w:wordWrap/>
              <w:overflowPunct/>
              <w:topLinePunct w:val="0"/>
              <w:bidi w:val="0"/>
              <w:spacing w:before="0" w:beforeAutospacing="0" w:after="0" w:afterAutospacing="0" w:line="360" w:lineRule="auto"/>
              <w:ind w:left="40" w:leftChars="19" w:right="0" w:firstLine="480" w:firstLineChars="20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4）广东省政府采购智慧云平台正式中介机构</w:t>
            </w:r>
            <w:r>
              <w:rPr>
                <w:rFonts w:hint="eastAsia" w:ascii="仿宋" w:hAnsi="仿宋" w:eastAsia="仿宋" w:cs="仿宋"/>
                <w:color w:val="auto"/>
                <w:kern w:val="0"/>
                <w:sz w:val="24"/>
                <w:szCs w:val="24"/>
                <w:highlight w:val="none"/>
                <w:lang w:val="en-US" w:eastAsia="zh-CN"/>
              </w:rPr>
              <w:t>，提供相关材料或相关截图</w:t>
            </w:r>
            <w:r>
              <w:rPr>
                <w:rFonts w:hint="eastAsia" w:ascii="仿宋" w:hAnsi="仿宋" w:eastAsia="仿宋" w:cs="仿宋"/>
                <w:kern w:val="0"/>
                <w:sz w:val="24"/>
                <w:szCs w:val="24"/>
                <w:lang w:val="en-US" w:eastAsia="zh-CN"/>
              </w:rPr>
              <w:t>。</w:t>
            </w:r>
          </w:p>
          <w:p>
            <w:pPr>
              <w:keepNext w:val="0"/>
              <w:keepLines w:val="0"/>
              <w:widowControl w:val="0"/>
              <w:suppressLineNumbers w:val="0"/>
              <w:shd w:val="clear" w:color="auto" w:fill="auto"/>
              <w:kinsoku/>
              <w:wordWrap/>
              <w:overflowPunct/>
              <w:topLinePunct w:val="0"/>
              <w:bidi w:val="0"/>
              <w:spacing w:before="0" w:beforeAutospacing="0" w:after="0" w:afterAutospacing="0" w:line="360" w:lineRule="auto"/>
              <w:ind w:left="40" w:leftChars="19" w:right="0" w:firstLine="480" w:firstLineChars="20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提供国家住建部全国建筑市场监管公共服务平台、惠州市公共资源交易中心、中正国标中易电子交易平台的注册或备案证明（提供查询或操作截图）。未在国家住建部全国建筑市场监管公共服务平台、中正国标中易电子交易平台办理注册或备案手续的，须承诺在承接代理项目前完成注册或备案手续，否则我院有权取消其中选资格。（提供承诺函，格式自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rPr>
              <w:t>6）本项目不接受联合体投标，不允许供应商对本招标项目进行分包和转包。</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提供</w:t>
            </w:r>
            <w:r>
              <w:rPr>
                <w:rFonts w:hint="eastAsia" w:ascii="仿宋" w:hAnsi="仿宋" w:eastAsia="仿宋" w:cs="仿宋"/>
                <w:kern w:val="0"/>
                <w:sz w:val="24"/>
                <w:szCs w:val="24"/>
              </w:rPr>
              <w:t>声明函，格式自拟）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已在采购办报名成功。</w:t>
            </w:r>
          </w:p>
        </w:tc>
        <w:tc>
          <w:tcPr>
            <w:tcW w:w="58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已在采购办报名成功，以采购办提供供应商报名资料为准。</w:t>
            </w:r>
          </w:p>
        </w:tc>
      </w:tr>
    </w:tbl>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表二、符合性审查表</w:t>
      </w:r>
    </w:p>
    <w:tbl>
      <w:tblPr>
        <w:tblStyle w:val="31"/>
        <w:tblW w:w="8793"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039"/>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序号</w:t>
            </w:r>
          </w:p>
        </w:tc>
        <w:tc>
          <w:tcPr>
            <w:tcW w:w="8225"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符合性</w:t>
            </w:r>
            <w:r>
              <w:rPr>
                <w:rFonts w:hint="eastAsia" w:ascii="仿宋" w:hAnsi="仿宋" w:eastAsia="仿宋" w:cs="仿宋"/>
                <w:b/>
                <w:bCs/>
                <w:color w:val="auto"/>
                <w:sz w:val="24"/>
                <w:szCs w:val="24"/>
                <w:highlight w:val="none"/>
              </w:rPr>
              <w:t>审查</w:t>
            </w:r>
            <w:r>
              <w:rPr>
                <w:rFonts w:hint="eastAsia" w:ascii="仿宋" w:hAnsi="仿宋" w:eastAsia="仿宋" w:cs="仿宋"/>
                <w:b/>
                <w:bCs/>
                <w:color w:val="auto"/>
                <w:sz w:val="24"/>
                <w:szCs w:val="24"/>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30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文件规定要求签署、盖章</w:t>
            </w:r>
          </w:p>
        </w:tc>
        <w:tc>
          <w:tcPr>
            <w:tcW w:w="51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文件规定要求签署、盖章且</w:t>
            </w:r>
            <w:r>
              <w:rPr>
                <w:rFonts w:hint="eastAsia" w:ascii="仿宋" w:hAnsi="仿宋" w:eastAsia="仿宋" w:cs="仿宋"/>
                <w:color w:val="auto"/>
                <w:sz w:val="24"/>
                <w:szCs w:val="24"/>
                <w:highlight w:val="none"/>
                <w:lang w:eastAsia="zh-CN"/>
              </w:rPr>
              <w:t>比选响应</w:t>
            </w:r>
            <w:r>
              <w:rPr>
                <w:rFonts w:hint="eastAsia" w:ascii="仿宋" w:hAnsi="仿宋" w:eastAsia="仿宋" w:cs="仿宋"/>
                <w:color w:val="auto"/>
                <w:sz w:val="24"/>
                <w:szCs w:val="24"/>
                <w:highlight w:val="none"/>
              </w:rPr>
              <w:t>文件有法定代表人签字或盖个人私章（或签字人有法定代表人有效授权书）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0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有效期不少于</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文件中载明的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有效期</w:t>
            </w:r>
          </w:p>
        </w:tc>
        <w:tc>
          <w:tcPr>
            <w:tcW w:w="51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函已提交并符合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文件要求的，且</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有效期不少于</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文件中载明的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0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报价要求</w:t>
            </w:r>
          </w:p>
        </w:tc>
        <w:tc>
          <w:tcPr>
            <w:tcW w:w="51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文件的报价方式、 报价要求进行了报价且报价方案是唯一确定，未超出采购预算</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0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“★”号条款的响应情况</w:t>
            </w:r>
          </w:p>
        </w:tc>
        <w:tc>
          <w:tcPr>
            <w:tcW w:w="51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文件完全满足</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文件的实质性条款（即标注★号条款）无负偏离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30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有关法律、法规、规章</w:t>
            </w:r>
            <w:r>
              <w:rPr>
                <w:rFonts w:hint="eastAsia" w:ascii="仿宋" w:hAnsi="仿宋" w:eastAsia="仿宋" w:cs="仿宋"/>
                <w:color w:val="auto"/>
                <w:sz w:val="24"/>
                <w:szCs w:val="24"/>
                <w:highlight w:val="none"/>
                <w:lang w:eastAsia="zh-CN"/>
              </w:rPr>
              <w:t>规定</w:t>
            </w:r>
          </w:p>
        </w:tc>
        <w:tc>
          <w:tcPr>
            <w:tcW w:w="51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0" w:leftChars="19"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按有关法律、法规、规章不属于</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无效</w:t>
            </w:r>
          </w:p>
        </w:tc>
      </w:tr>
    </w:tbl>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（四）响应文件的比较和评价</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1.评审小组按比选文件中规定的评审方法和标准，对审查合格的响应文件的商务、技术、服务和价格进行评估，最后进行综合比较与评价。</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2.评审小组对技术规格偏离表、服务响应偏离表的响应资料等进行评审，并填写相关表格。</w:t>
      </w:r>
    </w:p>
    <w:p>
      <w:pPr>
        <w:spacing w:line="360" w:lineRule="auto"/>
        <w:rPr>
          <w:rFonts w:hint="eastAsia" w:ascii="仿宋" w:hAnsi="仿宋" w:eastAsia="仿宋" w:cs="仿宋"/>
          <w:color w:val="auto"/>
          <w:sz w:val="24"/>
          <w:lang w:val="en-US" w:eastAsia="zh-CN"/>
        </w:rPr>
      </w:pPr>
    </w:p>
    <w:tbl>
      <w:tblPr>
        <w:tblStyle w:val="31"/>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765"/>
        <w:gridCol w:w="1407"/>
        <w:gridCol w:w="24"/>
        <w:gridCol w:w="5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438"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评审因素</w:t>
            </w:r>
          </w:p>
        </w:tc>
        <w:tc>
          <w:tcPr>
            <w:tcW w:w="7280" w:type="dxa"/>
            <w:gridSpan w:val="3"/>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分值构成</w:t>
            </w:r>
          </w:p>
        </w:tc>
        <w:tc>
          <w:tcPr>
            <w:tcW w:w="7280" w:type="dxa"/>
            <w:gridSpan w:val="3"/>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商务部分</w:t>
            </w:r>
            <w:r>
              <w:rPr>
                <w:rFonts w:hint="default" w:ascii="仿宋" w:hAnsi="仿宋" w:eastAsia="仿宋" w:cs="仿宋"/>
                <w:b/>
                <w:color w:val="auto"/>
                <w:sz w:val="24"/>
                <w:highlight w:val="none"/>
                <w:lang w:val="en-US" w:eastAsia="zh-CN"/>
              </w:rPr>
              <w:t>4</w:t>
            </w:r>
            <w:r>
              <w:rPr>
                <w:rFonts w:hint="eastAsia" w:ascii="仿宋" w:hAnsi="仿宋" w:eastAsia="仿宋" w:cs="仿宋"/>
                <w:b/>
                <w:color w:val="auto"/>
                <w:sz w:val="24"/>
                <w:highlight w:val="none"/>
                <w:lang w:val="en-US" w:eastAsia="zh-CN"/>
              </w:rPr>
              <w:t>0分</w:t>
            </w:r>
          </w:p>
          <w:p>
            <w:pPr>
              <w:keepNext w:val="0"/>
              <w:keepLines w:val="0"/>
              <w:suppressLineNumbers w:val="0"/>
              <w:spacing w:before="0" w:beforeAutospacing="0" w:after="0" w:afterAutospacing="0" w:line="360" w:lineRule="auto"/>
              <w:ind w:left="0" w:right="0"/>
              <w:jc w:val="lef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技术部分</w:t>
            </w:r>
            <w:r>
              <w:rPr>
                <w:rFonts w:hint="default" w:ascii="仿宋" w:hAnsi="仿宋" w:eastAsia="仿宋" w:cs="仿宋"/>
                <w:b/>
                <w:color w:val="auto"/>
                <w:sz w:val="24"/>
                <w:highlight w:val="none"/>
                <w:lang w:val="en-US" w:eastAsia="zh-CN"/>
              </w:rPr>
              <w:t>5</w:t>
            </w:r>
            <w:r>
              <w:rPr>
                <w:rFonts w:hint="eastAsia" w:ascii="仿宋" w:hAnsi="仿宋" w:eastAsia="仿宋" w:cs="仿宋"/>
                <w:b/>
                <w:color w:val="auto"/>
                <w:sz w:val="24"/>
                <w:highlight w:val="none"/>
                <w:lang w:val="en-US" w:eastAsia="zh-CN"/>
              </w:rPr>
              <w:t>0分</w:t>
            </w:r>
          </w:p>
          <w:p>
            <w:pPr>
              <w:keepNext w:val="0"/>
              <w:keepLines w:val="0"/>
              <w:suppressLineNumbers w:val="0"/>
              <w:spacing w:before="0" w:beforeAutospacing="0" w:after="0" w:afterAutospacing="0" w:line="360" w:lineRule="auto"/>
              <w:ind w:left="0" w:right="0"/>
              <w:jc w:val="lef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报价得分10分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673" w:type="dxa"/>
            <w:vMerge w:val="restart"/>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部分</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p>
        </w:tc>
        <w:tc>
          <w:tcPr>
            <w:tcW w:w="765" w:type="dxa"/>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进度措施方案</w:t>
            </w:r>
          </w:p>
        </w:tc>
        <w:tc>
          <w:tcPr>
            <w:tcW w:w="1431" w:type="dxa"/>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（主观分）</w:t>
            </w:r>
          </w:p>
        </w:tc>
        <w:tc>
          <w:tcPr>
            <w:tcW w:w="5849" w:type="dxa"/>
            <w:noWrap w:val="0"/>
            <w:vAlign w:val="center"/>
          </w:tcPr>
          <w:p>
            <w:pPr>
              <w:pStyle w:val="21"/>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根据各响应供应商进度措施方案（包括但不限于</w:t>
            </w:r>
            <w:r>
              <w:rPr>
                <w:rFonts w:hint="eastAsia" w:ascii="仿宋" w:hAnsi="仿宋" w:eastAsia="仿宋" w:cs="仿宋"/>
                <w:b w:val="0"/>
                <w:bCs w:val="0"/>
                <w:i w:val="0"/>
                <w:iCs w:val="0"/>
                <w:caps w:val="0"/>
                <w:color w:val="auto"/>
                <w:spacing w:val="0"/>
                <w:kern w:val="2"/>
                <w:sz w:val="24"/>
                <w:szCs w:val="24"/>
                <w:highlight w:val="none"/>
                <w:shd w:val="clear"/>
                <w:lang w:bidi="ar-SA"/>
              </w:rPr>
              <w:t>详细的进度计划</w:t>
            </w:r>
            <w:r>
              <w:rPr>
                <w:rFonts w:hint="eastAsia" w:ascii="仿宋" w:hAnsi="仿宋" w:eastAsia="仿宋" w:cs="仿宋"/>
                <w:b w:val="0"/>
                <w:bCs w:val="0"/>
                <w:i w:val="0"/>
                <w:iCs w:val="0"/>
                <w:caps w:val="0"/>
                <w:color w:val="auto"/>
                <w:spacing w:val="0"/>
                <w:kern w:val="2"/>
                <w:sz w:val="24"/>
                <w:szCs w:val="24"/>
                <w:highlight w:val="none"/>
                <w:shd w:val="clear"/>
                <w:lang w:eastAsia="zh-CN" w:bidi="ar-SA"/>
              </w:rPr>
              <w:t>、</w:t>
            </w:r>
            <w:r>
              <w:rPr>
                <w:rFonts w:hint="eastAsia" w:ascii="仿宋" w:hAnsi="仿宋" w:eastAsia="仿宋" w:cs="仿宋"/>
                <w:color w:val="auto"/>
                <w:sz w:val="24"/>
                <w:szCs w:val="24"/>
                <w:highlight w:val="none"/>
                <w:lang w:val="en-US" w:eastAsia="zh-CN"/>
              </w:rPr>
              <w:t>实施效率、响应时效、</w:t>
            </w:r>
            <w:r>
              <w:rPr>
                <w:rFonts w:hint="eastAsia" w:ascii="仿宋" w:hAnsi="仿宋" w:eastAsia="仿宋" w:cs="仿宋"/>
                <w:b w:val="0"/>
                <w:bCs w:val="0"/>
                <w:i w:val="0"/>
                <w:iCs w:val="0"/>
                <w:caps w:val="0"/>
                <w:color w:val="auto"/>
                <w:spacing w:val="0"/>
                <w:kern w:val="2"/>
                <w:sz w:val="24"/>
                <w:szCs w:val="24"/>
                <w:highlight w:val="none"/>
                <w:shd w:val="clear"/>
                <w:lang w:bidi="ar-SA"/>
              </w:rPr>
              <w:t>资源保障</w:t>
            </w:r>
            <w:r>
              <w:rPr>
                <w:rFonts w:hint="eastAsia" w:ascii="仿宋" w:hAnsi="仿宋" w:eastAsia="仿宋" w:cs="仿宋"/>
                <w:b w:val="0"/>
                <w:bCs w:val="0"/>
                <w:i w:val="0"/>
                <w:iCs w:val="0"/>
                <w:caps w:val="0"/>
                <w:color w:val="auto"/>
                <w:spacing w:val="0"/>
                <w:kern w:val="2"/>
                <w:sz w:val="24"/>
                <w:szCs w:val="24"/>
                <w:highlight w:val="none"/>
                <w:shd w:val="clear"/>
                <w:lang w:eastAsia="zh-CN" w:bidi="ar-SA"/>
              </w:rPr>
              <w:t>、</w:t>
            </w:r>
            <w:r>
              <w:rPr>
                <w:rFonts w:hint="eastAsia" w:ascii="仿宋" w:hAnsi="仿宋" w:eastAsia="仿宋" w:cs="仿宋"/>
                <w:b w:val="0"/>
                <w:bCs w:val="0"/>
                <w:i w:val="0"/>
                <w:iCs w:val="0"/>
                <w:caps w:val="0"/>
                <w:color w:val="auto"/>
                <w:spacing w:val="0"/>
                <w:kern w:val="2"/>
                <w:sz w:val="24"/>
                <w:szCs w:val="24"/>
                <w:highlight w:val="none"/>
                <w:shd w:val="clear"/>
                <w:lang w:bidi="ar-SA"/>
              </w:rPr>
              <w:t>进度控制方法</w:t>
            </w:r>
            <w:r>
              <w:rPr>
                <w:rFonts w:hint="eastAsia" w:ascii="仿宋" w:hAnsi="仿宋" w:eastAsia="仿宋" w:cs="仿宋"/>
                <w:b w:val="0"/>
                <w:bCs w:val="0"/>
                <w:i w:val="0"/>
                <w:iCs w:val="0"/>
                <w:caps w:val="0"/>
                <w:color w:val="auto"/>
                <w:spacing w:val="0"/>
                <w:kern w:val="2"/>
                <w:sz w:val="24"/>
                <w:szCs w:val="24"/>
                <w:highlight w:val="none"/>
                <w:shd w:val="clear"/>
                <w:lang w:val="en-US" w:eastAsia="zh-CN" w:bidi="ar-SA"/>
              </w:rPr>
              <w:t>等）</w:t>
            </w:r>
            <w:r>
              <w:rPr>
                <w:rFonts w:hint="eastAsia" w:ascii="仿宋" w:hAnsi="仿宋" w:eastAsia="仿宋" w:cs="仿宋"/>
                <w:color w:val="auto"/>
                <w:kern w:val="2"/>
                <w:sz w:val="24"/>
                <w:szCs w:val="24"/>
                <w:highlight w:val="none"/>
                <w:lang w:val="en-US" w:eastAsia="zh-CN" w:bidi="ar-SA"/>
              </w:rPr>
              <w:t>进行评审：</w:t>
            </w:r>
          </w:p>
          <w:p>
            <w:pPr>
              <w:pStyle w:val="21"/>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1、能全面理解且熟悉采购代理的工作职责和要求，对采购关键节点提出有效的控制措施，提出完善且有效的保证进度措施，完全符合且优于项目需求得13分；</w:t>
            </w:r>
          </w:p>
          <w:p>
            <w:pPr>
              <w:pStyle w:val="21"/>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2、能基本理解采购代理的工作职责和要求，对采购关键节点提出的控制措施合理，提出的保证进度措施符合，基本符合项目需求得9分；</w:t>
            </w:r>
          </w:p>
          <w:p>
            <w:pPr>
              <w:pStyle w:val="21"/>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3、对采购代理的工作职责和要求理解较差，对采购关键节点提出的控制措施欠合理，提出的保证进度措施欠可行，不符合项目需求得6分；</w:t>
            </w:r>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240" w:lineRule="auto"/>
              <w:ind w:left="0" w:leftChars="0" w:right="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eastAsia="zh-CN" w:bidi="ar-SA"/>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673" w:type="dxa"/>
            <w:vMerge w:val="continue"/>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p>
        </w:tc>
        <w:tc>
          <w:tcPr>
            <w:tcW w:w="765" w:type="dxa"/>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采购代理服务方案</w:t>
            </w:r>
          </w:p>
        </w:tc>
        <w:tc>
          <w:tcPr>
            <w:tcW w:w="1431" w:type="dxa"/>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（主观分）</w:t>
            </w:r>
          </w:p>
        </w:tc>
        <w:tc>
          <w:tcPr>
            <w:tcW w:w="5849" w:type="dxa"/>
            <w:noWrap w:val="0"/>
            <w:vAlign w:val="center"/>
          </w:tcPr>
          <w:p>
            <w:pPr>
              <w:keepNext w:val="0"/>
              <w:keepLines w:val="0"/>
              <w:numPr>
                <w:ilvl w:val="0"/>
                <w:numId w:val="0"/>
              </w:numPr>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根据各响应供应商提供的采购代理服务方案（包括但不限于服务承诺、质量控制、质疑处理预案、文件编制与审查、应急处理、风险控制、其他增值服务、全流程电子化采购等）进行综合评审：</w:t>
            </w:r>
          </w:p>
          <w:p>
            <w:pPr>
              <w:keepNext w:val="0"/>
              <w:keepLines w:val="0"/>
              <w:widowControl w:val="0"/>
              <w:numPr>
                <w:ilvl w:val="0"/>
                <w:numId w:val="0"/>
              </w:numPr>
              <w:suppressLineNumbers w:val="0"/>
              <w:spacing w:before="0" w:beforeAutospacing="0" w:after="0" w:afterAutospacing="0" w:line="240" w:lineRule="auto"/>
              <w:ind w:left="0"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1、方案详细全面包括上述全部内容，措施科学可行，完全匹配 且优于项目需求，得13分；</w:t>
            </w:r>
          </w:p>
          <w:p>
            <w:pPr>
              <w:keepNext w:val="0"/>
              <w:keepLines w:val="0"/>
              <w:numPr>
                <w:ilvl w:val="0"/>
                <w:numId w:val="0"/>
              </w:numPr>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2、方案内容完整，措施得当，满足项目需求，得9分；</w:t>
            </w:r>
          </w:p>
          <w:p>
            <w:pPr>
              <w:keepNext w:val="0"/>
              <w:keepLines w:val="0"/>
              <w:numPr>
                <w:ilvl w:val="0"/>
                <w:numId w:val="0"/>
              </w:numPr>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3、未能提供所有上述方案且方案内容简单、不完整，措施操作性 较差，未能完全满足项目需求，得6分；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480" w:firstLineChars="200"/>
              <w:textAlignment w:val="auto"/>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2"/>
                <w:sz w:val="24"/>
                <w:szCs w:val="24"/>
                <w:highlight w:val="none"/>
                <w:lang w:val="en-US" w:eastAsia="zh-CN" w:bidi="ar-SA"/>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673" w:type="dxa"/>
            <w:vMerge w:val="continue"/>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p>
        </w:tc>
        <w:tc>
          <w:tcPr>
            <w:tcW w:w="765" w:type="dxa"/>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人员配备</w:t>
            </w:r>
          </w:p>
        </w:tc>
        <w:tc>
          <w:tcPr>
            <w:tcW w:w="1431" w:type="dxa"/>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（客观分）</w:t>
            </w:r>
          </w:p>
        </w:tc>
        <w:tc>
          <w:tcPr>
            <w:tcW w:w="5849" w:type="dxa"/>
            <w:noWrap w:val="0"/>
            <w:vAlign w:val="center"/>
          </w:tcPr>
          <w:p>
            <w:pPr>
              <w:pStyle w:val="21"/>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根据各响应供应商拟派出的人员配备情况进行综合评比：</w:t>
            </w:r>
          </w:p>
          <w:p>
            <w:pPr>
              <w:pStyle w:val="21"/>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（1）拟派项目负责人（1人）：具有“中级专业能力评价类相关证书”的，得5分；具有“初级专业能力评价类相关证书”的，得3分，本小项最高得5分。</w:t>
            </w:r>
          </w:p>
          <w:p>
            <w:pPr>
              <w:pStyle w:val="21"/>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（2）拟派专职人员：具有行业主管部门或政府采购协会颁发的“培训证书”的，得3分，本小项最高得9分。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2"/>
                <w:sz w:val="24"/>
                <w:szCs w:val="24"/>
                <w:highlight w:val="none"/>
                <w:lang w:val="en-US" w:eastAsia="zh-CN" w:bidi="ar-SA"/>
              </w:rPr>
              <w:t>注：人员不重复得分，需提供身份证复印件、有效证书复印件及递交文件前半年内任意一个月社保缴纳记录，无提供不得分。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673" w:type="dxa"/>
            <w:vMerge w:val="continue"/>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p>
        </w:tc>
        <w:tc>
          <w:tcPr>
            <w:tcW w:w="765" w:type="dxa"/>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场地条件</w:t>
            </w:r>
          </w:p>
        </w:tc>
        <w:tc>
          <w:tcPr>
            <w:tcW w:w="1431" w:type="dxa"/>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（客观分）</w:t>
            </w:r>
          </w:p>
        </w:tc>
        <w:tc>
          <w:tcPr>
            <w:tcW w:w="5849" w:type="dxa"/>
            <w:noWrap w:val="0"/>
            <w:vAlign w:val="center"/>
          </w:tcPr>
          <w:p>
            <w:pPr>
              <w:pStyle w:val="21"/>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1、根据各响应供应商的开评标室情况进行评审：</w:t>
            </w:r>
          </w:p>
          <w:p>
            <w:pPr>
              <w:pStyle w:val="21"/>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具有开标室1个或以上，评标室1个或以上，具备录像、录音、电脑、打印机、投影仪等开标、评标条件的，得10分，不满足或不完全满足的不得分。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kern w:val="2"/>
                <w:sz w:val="24"/>
                <w:szCs w:val="24"/>
                <w:highlight w:val="none"/>
                <w:lang w:val="en-US" w:eastAsia="zh-CN" w:bidi="ar-SA"/>
              </w:rPr>
              <w:t>注：需提供场地条件的证明材料：场地租赁合同或产权证书和开标室、评标室备录像、录音、电脑、打印机、投影仪等图片，复印件加盖公章，无提供不得分。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673" w:type="dxa"/>
            <w:vMerge w:val="restart"/>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w:t>
            </w:r>
          </w:p>
        </w:tc>
        <w:tc>
          <w:tcPr>
            <w:tcW w:w="765" w:type="dxa"/>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highlight w:val="none"/>
                <w:lang w:val="en-US" w:eastAsia="zh-CN" w:bidi="ar-SA"/>
              </w:rPr>
              <w:t>同类业绩</w:t>
            </w:r>
            <w:r>
              <w:rPr>
                <w:rFonts w:hint="eastAsia" w:ascii="仿宋" w:hAnsi="仿宋" w:eastAsia="仿宋" w:cs="仿宋"/>
                <w:color w:val="auto"/>
                <w:sz w:val="24"/>
                <w:szCs w:val="24"/>
              </w:rPr>
              <w:t xml:space="preserve"> </w:t>
            </w:r>
          </w:p>
        </w:tc>
        <w:tc>
          <w:tcPr>
            <w:tcW w:w="1431" w:type="dxa"/>
            <w:gridSpan w:val="2"/>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20分</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（客观分）</w:t>
            </w:r>
          </w:p>
        </w:tc>
        <w:tc>
          <w:tcPr>
            <w:tcW w:w="5849" w:type="dxa"/>
            <w:noWrap w:val="0"/>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eastAsia="zh-CN" w:bidi="ar-SA"/>
              </w:rPr>
              <w:t>1、根据各响应供应商提供2023年1月1日至今（以合同签订时间为准）招标代理资格入库业绩情况进行评审，</w:t>
            </w:r>
            <w:r>
              <w:rPr>
                <w:rFonts w:hint="eastAsia" w:ascii="仿宋" w:hAnsi="仿宋" w:eastAsia="仿宋" w:cs="仿宋"/>
                <w:color w:val="auto"/>
                <w:sz w:val="24"/>
                <w:highlight w:val="none"/>
              </w:rPr>
              <w:t>每提供一个得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分，本项</w:t>
            </w:r>
            <w:r>
              <w:rPr>
                <w:rFonts w:hint="eastAsia" w:ascii="仿宋" w:hAnsi="仿宋" w:eastAsia="仿宋" w:cs="仿宋"/>
                <w:color w:val="auto"/>
                <w:sz w:val="24"/>
                <w:highlight w:val="none"/>
                <w:lang w:eastAsia="zh-CN"/>
              </w:rPr>
              <w:t>最高得</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p>
            <w:pPr>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2、根据各</w:t>
            </w:r>
            <w:r>
              <w:rPr>
                <w:rFonts w:hint="eastAsia" w:ascii="仿宋" w:hAnsi="仿宋" w:eastAsia="仿宋" w:cs="仿宋"/>
                <w:color w:val="auto"/>
                <w:kern w:val="2"/>
                <w:sz w:val="24"/>
                <w:szCs w:val="24"/>
                <w:highlight w:val="none"/>
                <w:lang w:val="en-US" w:eastAsia="zh-CN" w:bidi="ar-SA"/>
              </w:rPr>
              <w:t>响应供应商</w:t>
            </w:r>
            <w:r>
              <w:rPr>
                <w:rFonts w:hint="eastAsia" w:ascii="仿宋" w:hAnsi="仿宋" w:eastAsia="仿宋" w:cs="仿宋"/>
                <w:color w:val="auto"/>
                <w:kern w:val="0"/>
                <w:sz w:val="24"/>
                <w:szCs w:val="24"/>
                <w:highlight w:val="none"/>
                <w:lang w:val="en-US" w:eastAsia="zh-CN"/>
              </w:rPr>
              <w:t>提供2023年1月1日至今（以合同签订时间为准）采购项目招标代理业绩情况</w:t>
            </w:r>
            <w:r>
              <w:rPr>
                <w:rFonts w:hint="eastAsia" w:ascii="仿宋" w:hAnsi="仿宋" w:eastAsia="仿宋" w:cs="仿宋"/>
                <w:color w:val="auto"/>
                <w:kern w:val="2"/>
                <w:sz w:val="24"/>
                <w:szCs w:val="24"/>
                <w:highlight w:val="none"/>
                <w:lang w:val="en-US" w:eastAsia="zh-CN" w:bidi="ar-SA"/>
              </w:rPr>
              <w:t>进行评审</w:t>
            </w:r>
            <w:r>
              <w:rPr>
                <w:rFonts w:hint="eastAsia" w:ascii="仿宋" w:hAnsi="仿宋" w:eastAsia="仿宋" w:cs="仿宋"/>
                <w:color w:val="auto"/>
                <w:kern w:val="0"/>
                <w:sz w:val="24"/>
                <w:szCs w:val="24"/>
                <w:highlight w:val="none"/>
                <w:lang w:val="en-US" w:eastAsia="zh-CN"/>
              </w:rPr>
              <w:t>，每提供1个得1分，本项最高得10分。</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highlight w:val="none"/>
                <w:lang w:val="en-US" w:eastAsia="zh-CN" w:bidi="ar-SA"/>
              </w:rPr>
              <w:t>注：本总项满分20分，需</w:t>
            </w:r>
            <w:r>
              <w:rPr>
                <w:rFonts w:hint="eastAsia" w:ascii="仿宋" w:hAnsi="仿宋" w:eastAsia="仿宋" w:cs="仿宋"/>
                <w:color w:val="auto"/>
                <w:kern w:val="0"/>
                <w:sz w:val="24"/>
                <w:szCs w:val="24"/>
                <w:highlight w:val="none"/>
              </w:rPr>
              <w:t>提供</w:t>
            </w:r>
            <w:r>
              <w:rPr>
                <w:rFonts w:hint="eastAsia" w:ascii="仿宋" w:hAnsi="仿宋" w:eastAsia="仿宋" w:cs="仿宋"/>
                <w:color w:val="auto"/>
                <w:kern w:val="0"/>
                <w:sz w:val="24"/>
                <w:szCs w:val="24"/>
                <w:highlight w:val="none"/>
                <w:lang w:eastAsia="zh-CN"/>
              </w:rPr>
              <w:t>委托协议（代理合同）</w:t>
            </w:r>
            <w:r>
              <w:rPr>
                <w:rFonts w:hint="eastAsia" w:ascii="仿宋" w:hAnsi="仿宋" w:eastAsia="仿宋" w:cs="仿宋"/>
                <w:color w:val="auto"/>
                <w:kern w:val="0"/>
                <w:sz w:val="24"/>
                <w:szCs w:val="24"/>
                <w:highlight w:val="none"/>
              </w:rPr>
              <w:t>复印件，否则不得分。同一单位提供多份</w:t>
            </w:r>
            <w:r>
              <w:rPr>
                <w:rFonts w:hint="eastAsia" w:ascii="仿宋" w:hAnsi="仿宋" w:eastAsia="仿宋" w:cs="仿宋"/>
                <w:color w:val="auto"/>
                <w:kern w:val="0"/>
                <w:sz w:val="24"/>
                <w:szCs w:val="24"/>
                <w:highlight w:val="none"/>
                <w:lang w:eastAsia="zh-CN"/>
              </w:rPr>
              <w:t>委托协议（代理合同）</w:t>
            </w:r>
            <w:r>
              <w:rPr>
                <w:rFonts w:hint="eastAsia" w:ascii="仿宋" w:hAnsi="仿宋" w:eastAsia="仿宋" w:cs="仿宋"/>
                <w:color w:val="auto"/>
                <w:kern w:val="0"/>
                <w:sz w:val="24"/>
                <w:szCs w:val="24"/>
                <w:highlight w:val="none"/>
              </w:rPr>
              <w:t>按一项业绩计算。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673" w:type="dxa"/>
            <w:vMerge w:val="continue"/>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p>
        </w:tc>
        <w:tc>
          <w:tcPr>
            <w:tcW w:w="7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用户满意度评价</w:t>
            </w:r>
          </w:p>
        </w:tc>
        <w:tc>
          <w:tcPr>
            <w:tcW w:w="1431" w:type="dxa"/>
            <w:gridSpan w:val="2"/>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10分</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（客观分）</w:t>
            </w:r>
          </w:p>
        </w:tc>
        <w:tc>
          <w:tcPr>
            <w:tcW w:w="5849" w:type="dxa"/>
            <w:noWrap w:val="0"/>
            <w:vAlign w:val="top"/>
          </w:tcPr>
          <w:p>
            <w:pPr>
              <w:keepNext w:val="0"/>
              <w:keepLines w:val="0"/>
              <w:suppressLineNumbers w:val="0"/>
              <w:autoSpaceDE/>
              <w:autoSpaceDN/>
              <w:adjustRightInd w:val="0"/>
              <w:spacing w:before="0" w:beforeAutospacing="0" w:after="0" w:afterAutospacing="0" w:line="240" w:lineRule="auto"/>
              <w:ind w:left="0" w:right="0"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根据</w:t>
            </w:r>
            <w:r>
              <w:rPr>
                <w:rFonts w:hint="eastAsia" w:ascii="仿宋" w:hAnsi="仿宋" w:eastAsia="仿宋" w:cs="仿宋"/>
                <w:color w:val="auto"/>
                <w:kern w:val="2"/>
                <w:sz w:val="24"/>
                <w:szCs w:val="24"/>
                <w:highlight w:val="none"/>
                <w:lang w:val="en-US" w:eastAsia="zh-CN" w:bidi="ar-SA"/>
              </w:rPr>
              <w:t>各响应供应商</w:t>
            </w:r>
            <w:r>
              <w:rPr>
                <w:rFonts w:hint="eastAsia" w:ascii="仿宋" w:hAnsi="仿宋" w:eastAsia="仿宋" w:cs="仿宋"/>
                <w:color w:val="auto"/>
                <w:sz w:val="24"/>
                <w:szCs w:val="24"/>
              </w:rPr>
              <w:t>提供</w:t>
            </w:r>
            <w:r>
              <w:rPr>
                <w:rFonts w:hint="eastAsia" w:ascii="仿宋" w:hAnsi="仿宋" w:eastAsia="仿宋" w:cs="仿宋"/>
                <w:color w:val="auto"/>
                <w:kern w:val="2"/>
                <w:sz w:val="24"/>
                <w:szCs w:val="24"/>
                <w:highlight w:val="none"/>
                <w:lang w:val="en-US" w:eastAsia="zh-CN" w:bidi="ar-SA"/>
              </w:rPr>
              <w:t>招标代理业绩</w:t>
            </w:r>
            <w:r>
              <w:rPr>
                <w:rFonts w:hint="eastAsia" w:ascii="仿宋" w:hAnsi="仿宋" w:eastAsia="仿宋" w:cs="仿宋"/>
                <w:color w:val="auto"/>
                <w:sz w:val="24"/>
                <w:szCs w:val="24"/>
              </w:rPr>
              <w:t>的用户满意度评价（满意度评价为优或非常满意或分值达到90分或以上等表示服务好的评价）进行评审，其他评价等级不得分；</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每提供一份满意度评价证明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分，本项最高得</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；无提供不得分。</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eastAsia="zh-CN" w:bidi="ar-SA"/>
              </w:rPr>
              <w:t>注：</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rPr>
              <w:t>提供由用户盖章的满意度评价证明文件，复印件加盖公章</w:t>
            </w:r>
            <w:r>
              <w:rPr>
                <w:rFonts w:hint="eastAsia" w:ascii="仿宋" w:hAnsi="仿宋" w:eastAsia="仿宋" w:cs="仿宋"/>
                <w:color w:val="auto"/>
                <w:sz w:val="24"/>
                <w:szCs w:val="24"/>
                <w:lang w:eastAsia="zh-CN"/>
              </w:rPr>
              <w:t>或使用部门印章，同一用户提供多分评价或同一项目提供多份评价的均只计一次分。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73" w:type="dxa"/>
            <w:vMerge w:val="continue"/>
            <w:noWrap w:val="0"/>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p>
        </w:tc>
        <w:tc>
          <w:tcPr>
            <w:tcW w:w="7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档案管理方案</w:t>
            </w:r>
          </w:p>
        </w:tc>
        <w:tc>
          <w:tcPr>
            <w:tcW w:w="143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（主观分）</w:t>
            </w:r>
          </w:p>
        </w:tc>
        <w:tc>
          <w:tcPr>
            <w:tcW w:w="5849" w:type="dxa"/>
            <w:noWrap w:val="0"/>
            <w:vAlign w:val="top"/>
          </w:tcPr>
          <w:p>
            <w:pPr>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根据各响应供应商提供的档案管理方案进行评审，包括纸质档案、电子档案等：</w:t>
            </w:r>
          </w:p>
          <w:p>
            <w:pPr>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1、档案管理制度完善，档案管理措施好，得10分；</w:t>
            </w:r>
          </w:p>
          <w:p>
            <w:pPr>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2、档案管理制度完善较好，档案管理措施较好，得6分；</w:t>
            </w:r>
          </w:p>
          <w:p>
            <w:pPr>
              <w:keepNext w:val="0"/>
              <w:keepLines w:val="0"/>
              <w:suppressLineNumbers w:val="0"/>
              <w:spacing w:before="0" w:beforeAutospacing="0" w:after="0" w:afterAutospacing="0" w:line="240" w:lineRule="auto"/>
              <w:ind w:left="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3、档案管理制度基本符合，档案管理措施部分符合，得4分；</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eastAsia="zh-CN" w:bidi="ar-SA"/>
              </w:rPr>
              <w:t>4、未提供方案不得分。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438" w:type="dxa"/>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价格</w:t>
            </w:r>
          </w:p>
        </w:tc>
        <w:tc>
          <w:tcPr>
            <w:tcW w:w="140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10分</w:t>
            </w:r>
          </w:p>
        </w:tc>
        <w:tc>
          <w:tcPr>
            <w:tcW w:w="5873" w:type="dxa"/>
            <w:gridSpan w:val="2"/>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strike w:val="0"/>
                <w:dstrike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trike w:val="0"/>
                <w:dstrike w:val="0"/>
                <w:color w:val="000000" w:themeColor="text1"/>
                <w:kern w:val="2"/>
                <w:sz w:val="24"/>
                <w:szCs w:val="24"/>
                <w:highlight w:val="none"/>
                <w:lang w:val="en-US" w:eastAsia="zh-CN" w:bidi="ar-SA"/>
                <w14:textFill>
                  <w14:solidFill>
                    <w14:schemeClr w14:val="tx1"/>
                  </w14:solidFill>
                </w14:textFill>
              </w:rPr>
              <w:t>各有效响应供应商的报价中，取下浮最高者作为基准价，各有效响应供应商的价格评分。</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 w:hAnsi="仿宋" w:eastAsia="仿宋" w:cs="仿宋"/>
                <w:color w:val="auto"/>
                <w:sz w:val="24"/>
                <w:szCs w:val="24"/>
                <w:highlight w:val="none"/>
                <w:lang w:val="en-US"/>
              </w:rPr>
            </w:pPr>
            <w:r>
              <w:rPr>
                <w:rFonts w:hint="eastAsia" w:ascii="仿宋" w:hAnsi="仿宋" w:eastAsia="仿宋" w:cs="仿宋"/>
                <w:strike w:val="0"/>
                <w:dstrike w:val="0"/>
                <w:color w:val="000000" w:themeColor="text1"/>
                <w:kern w:val="2"/>
                <w:sz w:val="24"/>
                <w:szCs w:val="24"/>
                <w:highlight w:val="none"/>
                <w:lang w:val="en-US" w:eastAsia="zh-CN" w:bidi="ar-SA"/>
                <w14:textFill>
                  <w14:solidFill>
                    <w14:schemeClr w14:val="tx1"/>
                  </w14:solidFill>
                </w14:textFill>
              </w:rPr>
              <w:t>统一按照下列公式计算：（1-评标基准下浮率）/（1-评标下浮率）*10</w:t>
            </w:r>
          </w:p>
        </w:tc>
      </w:tr>
    </w:tbl>
    <w:p>
      <w:pPr>
        <w:rPr>
          <w:rFonts w:hint="eastAsia"/>
          <w:color w:val="auto"/>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二.政府采购政策落实</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（一）节能、环保要求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采购的产品属于品目清单范围的，将依据国家确定的认证机构出具的、处于有效期之内的节能产品、环境标志产品认证证书，对获得证书的产品实施政府优先采购或强制采购，具体按照本比选文件相关要求执行。</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相关认证机构和获证产品信息以市场监管总局组织建立的节能产品、环境标志产品认证结果信息发布平台公布为准。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（二）对小型、微型企业、监狱企业或残疾人福利性单位给予价格扣除</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（三）价格扣除相关要求</w:t>
      </w:r>
    </w:p>
    <w:tbl>
      <w:tblPr>
        <w:tblStyle w:val="31"/>
        <w:tblW w:w="87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2"/>
        <w:gridCol w:w="1785"/>
        <w:gridCol w:w="1365"/>
        <w:gridCol w:w="1365"/>
        <w:gridCol w:w="34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序号</w:t>
            </w:r>
          </w:p>
        </w:tc>
        <w:tc>
          <w:tcPr>
            <w:tcW w:w="1785"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情形</w:t>
            </w:r>
          </w:p>
        </w:tc>
        <w:tc>
          <w:tcPr>
            <w:tcW w:w="1365"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适用对象</w:t>
            </w:r>
          </w:p>
        </w:tc>
        <w:tc>
          <w:tcPr>
            <w:tcW w:w="1365"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w:t>
            </w:r>
          </w:p>
        </w:tc>
        <w:tc>
          <w:tcPr>
            <w:tcW w:w="3450"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6" w:hRule="atLeast"/>
        </w:trPr>
        <w:tc>
          <w:tcPr>
            <w:tcW w:w="762"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1785"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小型、微型企业、监狱企业、残疾人福利性单位</w:t>
            </w:r>
          </w:p>
        </w:tc>
        <w:tc>
          <w:tcPr>
            <w:tcW w:w="1365"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货物由小微企业制造</w:t>
            </w:r>
          </w:p>
        </w:tc>
        <w:tc>
          <w:tcPr>
            <w:tcW w:w="1365"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c>
          <w:tcPr>
            <w:tcW w:w="3450"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货物由小微企业制造，即货物由小微企业生产且使用该小微企业商号或注册商标时，给予价格扣除C1，即：评标价=</w:t>
            </w:r>
            <w:r>
              <w:rPr>
                <w:rFonts w:hint="eastAsia" w:ascii="仿宋" w:hAnsi="仿宋" w:eastAsia="仿宋" w:cs="仿宋"/>
                <w:color w:val="auto"/>
                <w:kern w:val="0"/>
                <w:sz w:val="24"/>
                <w:szCs w:val="24"/>
                <w:highlight w:val="none"/>
                <w:lang w:val="en-US" w:eastAsia="zh-CN" w:bidi="ar-SA"/>
              </w:rPr>
              <w:t>响应</w:t>
            </w:r>
            <w:r>
              <w:rPr>
                <w:rFonts w:hint="eastAsia" w:ascii="仿宋" w:hAnsi="仿宋" w:eastAsia="仿宋" w:cs="仿宋"/>
                <w:b w:val="0"/>
                <w:bCs w:val="0"/>
                <w:color w:val="auto"/>
                <w:sz w:val="24"/>
                <w:szCs w:val="24"/>
                <w:highlight w:val="none"/>
                <w:lang w:val="en-US" w:eastAsia="zh-CN"/>
              </w:rPr>
              <w:t>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6" w:hRule="atLeast"/>
        </w:trPr>
        <w:tc>
          <w:tcPr>
            <w:tcW w:w="762"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1785"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节能、环保产品</w:t>
            </w:r>
          </w:p>
        </w:tc>
        <w:tc>
          <w:tcPr>
            <w:tcW w:w="1365"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365"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3450" w:type="dxa"/>
            <w:noWrap w:val="0"/>
            <w:vAlign w:val="center"/>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对获得节能产品认证证书或环境标志产品认证证书的产品给予1%的价格扣除，具体扣除比例根据节能产品或环境标志产品在采购项目中的重要性、所占比重等因素确定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7" w:type="dxa"/>
            <w:gridSpan w:val="5"/>
            <w:noWrap w:val="0"/>
            <w:vAlign w:val="top"/>
          </w:tcPr>
          <w:p>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注：（1）上述评标价仅用于计算价格分，成交金额以实际</w:t>
            </w:r>
            <w:r>
              <w:rPr>
                <w:rFonts w:hint="eastAsia" w:ascii="仿宋" w:hAnsi="仿宋" w:eastAsia="仿宋" w:cs="仿宋"/>
                <w:color w:val="auto"/>
                <w:kern w:val="0"/>
                <w:sz w:val="24"/>
                <w:szCs w:val="24"/>
                <w:highlight w:val="none"/>
                <w:lang w:val="en-US" w:eastAsia="zh-CN" w:bidi="ar-SA"/>
              </w:rPr>
              <w:t>响应报</w:t>
            </w:r>
            <w:r>
              <w:rPr>
                <w:rFonts w:hint="eastAsia" w:ascii="仿宋" w:hAnsi="仿宋" w:eastAsia="仿宋" w:cs="仿宋"/>
                <w:b w:val="0"/>
                <w:bCs w:val="0"/>
                <w:color w:val="auto"/>
                <w:sz w:val="24"/>
                <w:szCs w:val="24"/>
                <w:highlight w:val="none"/>
                <w:lang w:val="en-US" w:eastAsia="zh-CN"/>
              </w:rPr>
              <w:t>价为准。 （2）组成联合体的大中型企业和其他自然人、法人或者其他组织、与小型、微型企业之间不得存在投资关系。</w:t>
            </w:r>
          </w:p>
        </w:tc>
      </w:tr>
    </w:tbl>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（1）所称小型和微型企业应当符合以下条件：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在中华人民共和国境内依法设立，依据国务院批准的中小企业划分标准确定的小型企业和微型企业，但与大企业的负责人为同一人，或者与大企业存在直接控股、管理关系的除外。</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符合中小企业划分标准的个体工商户，在政府采购活动中视同中小企业。</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提供本企业（属于小微企业）制造的货物或者提供其他小型或微型企业制造的货物/提供本企业（属于小微企业）承接的服务。</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2）符合中小企业扶持政策的响应供应商应填写《中小企业声明函》；监狱企业须响应供应商提供由监狱管理局、戒毒管理局（含新疆生产建设兵团）出具的属于监狱企业的证明文件；残疾人福利性单位应填写《残疾人福利性单位声明函》，否则不认定价格扣除。</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说明：响应供应商应当对其出具的《中小企业声明函》真实性负责，响应供应商出具的《中小企业声明函》内容不实的，属于提供虚假材料谋取中标。</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仿宋" w:hAnsi="仿宋" w:eastAsia="仿宋" w:cs="仿宋"/>
          <w:b w:val="0"/>
          <w:bCs w:val="0"/>
          <w:color w:val="auto"/>
          <w:sz w:val="24"/>
          <w:szCs w:val="24"/>
          <w:highlight w:val="none"/>
          <w:lang w:val="en-US" w:eastAsia="zh-CN"/>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w:t>
      </w:r>
      <w:r>
        <w:rPr>
          <w:rFonts w:hint="eastAsia" w:ascii="仿宋" w:hAnsi="仿宋" w:eastAsia="仿宋" w:cs="仿宋"/>
          <w:color w:val="auto"/>
          <w:sz w:val="24"/>
          <w:szCs w:val="24"/>
          <w:lang w:eastAsia="zh-CN"/>
        </w:rPr>
        <w:br w:type="page"/>
      </w:r>
    </w:p>
    <w:p>
      <w:pPr>
        <w:widowControl/>
        <w:shd w:val="clear" w:color="auto" w:fill="FFFFFF"/>
        <w:spacing w:before="100" w:beforeAutospacing="1" w:after="100" w:afterAutospacing="1" w:line="360" w:lineRule="auto"/>
        <w:jc w:val="center"/>
        <w:rPr>
          <w:rFonts w:hint="eastAsia" w:ascii="仿宋" w:hAnsi="仿宋" w:eastAsia="仿宋" w:cs="仿宋"/>
          <w:b/>
          <w:color w:val="auto"/>
          <w:kern w:val="0"/>
          <w:sz w:val="24"/>
          <w:szCs w:val="24"/>
        </w:rPr>
      </w:pPr>
      <w:r>
        <w:rPr>
          <w:rFonts w:hint="eastAsia" w:ascii="仿宋" w:hAnsi="仿宋" w:eastAsia="仿宋" w:cs="仿宋"/>
          <w:b w:val="0"/>
          <w:bCs/>
          <w:color w:val="auto"/>
          <w:kern w:val="0"/>
          <w:sz w:val="24"/>
          <w:szCs w:val="24"/>
        </w:rPr>
        <w:t>第五部分  响应文件格式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一、供应商应提供有效的公司资质、厂家资质、业务代表授权书等。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lang w:val="zh-CN" w:eastAsia="zh-CN"/>
        </w:rPr>
      </w:pPr>
      <w:r>
        <w:rPr>
          <w:rFonts w:hint="eastAsia" w:ascii="仿宋" w:hAnsi="仿宋" w:eastAsia="仿宋" w:cs="仿宋"/>
          <w:color w:val="auto"/>
          <w:sz w:val="24"/>
          <w:lang w:val="zh-CN" w:eastAsia="zh-CN"/>
        </w:rPr>
        <w:t>二、响应文件每页均应认真填写并加盖公章，包括附件，未盖章视为响应无效文件。所有页面必须清晰可分辨阅读，凡是有页面（含复印件）不清晰经专家讨论认为无法分辨的视为响应无效文件。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bCs/>
          <w:color w:val="auto"/>
          <w:sz w:val="24"/>
          <w:lang w:val="zh-CN" w:eastAsia="zh-CN"/>
        </w:rPr>
      </w:pPr>
      <w:r>
        <w:rPr>
          <w:rFonts w:hint="eastAsia" w:ascii="仿宋" w:hAnsi="仿宋" w:eastAsia="仿宋" w:cs="仿宋"/>
          <w:color w:val="auto"/>
          <w:sz w:val="24"/>
          <w:lang w:val="zh-CN" w:eastAsia="zh-CN"/>
        </w:rPr>
        <w:t>三、响应供应商必须按照以下顺序进行响应书编排装订</w:t>
      </w:r>
      <w:r>
        <w:rPr>
          <w:rFonts w:hint="eastAsia" w:ascii="仿宋" w:hAnsi="仿宋" w:eastAsia="仿宋" w:cs="仿宋"/>
          <w:b/>
          <w:bCs/>
          <w:color w:val="auto"/>
          <w:sz w:val="24"/>
          <w:lang w:val="zh-CN" w:eastAsia="zh-CN"/>
        </w:rPr>
        <w:t>（至少要简单装订成册，不得随意用回形针之类的别住）及盖章密封选记，文件袋必须贴封条密封盖章，注明产品名称，供应商名称，一式</w:t>
      </w:r>
      <w:r>
        <w:rPr>
          <w:rFonts w:hint="eastAsia" w:ascii="仿宋" w:hAnsi="仿宋" w:eastAsia="仿宋" w:cs="仿宋"/>
          <w:b/>
          <w:bCs/>
          <w:color w:val="auto"/>
          <w:sz w:val="24"/>
          <w:lang w:val="en-US" w:eastAsia="zh-CN"/>
        </w:rPr>
        <w:t>三</w:t>
      </w:r>
      <w:r>
        <w:rPr>
          <w:rFonts w:hint="eastAsia" w:ascii="仿宋" w:hAnsi="仿宋" w:eastAsia="仿宋" w:cs="仿宋"/>
          <w:b/>
          <w:bCs/>
          <w:color w:val="auto"/>
          <w:sz w:val="24"/>
          <w:lang w:val="zh-CN" w:eastAsia="zh-CN"/>
        </w:rPr>
        <w:t>份；注明产品名称。</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color w:val="auto"/>
          <w:sz w:val="24"/>
          <w:lang w:val="zh-CN" w:eastAsia="zh-CN"/>
        </w:rPr>
      </w:pPr>
      <w:r>
        <w:rPr>
          <w:rFonts w:hint="eastAsia" w:ascii="仿宋" w:hAnsi="仿宋" w:eastAsia="仿宋" w:cs="仿宋"/>
          <w:b/>
          <w:bCs/>
          <w:color w:val="auto"/>
          <w:sz w:val="24"/>
          <w:lang w:val="zh-CN" w:eastAsia="zh-CN"/>
        </w:rPr>
        <w:t>四、响应文件散乱未装订者或页码与目录内容不一致的专家有权不予评审，按响应无效处理；响应供应商因响应文件未装订而造成评审中资料遗失影响评审结果的，后果自负。</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color w:val="auto"/>
          <w:sz w:val="24"/>
          <w:lang w:val="zh-CN" w:eastAsia="zh-CN"/>
        </w:rPr>
      </w:pPr>
      <w:r>
        <w:rPr>
          <w:rFonts w:hint="eastAsia" w:ascii="仿宋" w:hAnsi="仿宋" w:eastAsia="仿宋" w:cs="仿宋"/>
          <w:b/>
          <w:bCs/>
          <w:color w:val="auto"/>
          <w:sz w:val="24"/>
          <w:lang w:val="zh-CN" w:eastAsia="zh-CN"/>
        </w:rPr>
        <w:t>响应文件格式如下：</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lang w:val="en-US" w:eastAsia="zh-CN"/>
        </w:rPr>
      </w:pPr>
    </w:p>
    <w:p>
      <w:pPr>
        <w:pStyle w:val="14"/>
        <w:adjustRightInd w:val="0"/>
        <w:snapToGrid w:val="0"/>
        <w:spacing w:line="360" w:lineRule="auto"/>
        <w:rPr>
          <w:rFonts w:hint="eastAsia" w:ascii="仿宋" w:hAnsi="仿宋" w:eastAsia="仿宋" w:cs="仿宋"/>
          <w:b/>
          <w:color w:val="auto"/>
          <w:kern w:val="0"/>
          <w:sz w:val="72"/>
          <w:szCs w:val="72"/>
        </w:rPr>
      </w:pPr>
      <w:r>
        <w:rPr>
          <w:rFonts w:hint="eastAsia" w:ascii="仿宋" w:hAnsi="仿宋" w:eastAsia="仿宋" w:cs="仿宋"/>
          <w:b/>
          <w:color w:val="auto"/>
          <w:kern w:val="0"/>
          <w:sz w:val="72"/>
          <w:szCs w:val="72"/>
        </w:rPr>
        <w:br w:type="page"/>
      </w:r>
    </w:p>
    <w:p>
      <w:pPr>
        <w:pStyle w:val="14"/>
        <w:adjustRightInd w:val="0"/>
        <w:snapToGrid w:val="0"/>
        <w:spacing w:line="360" w:lineRule="auto"/>
        <w:jc w:val="center"/>
        <w:rPr>
          <w:rFonts w:hint="eastAsia" w:ascii="仿宋" w:hAnsi="仿宋" w:eastAsia="仿宋" w:cs="仿宋"/>
          <w:b/>
          <w:color w:val="auto"/>
          <w:kern w:val="0"/>
          <w:sz w:val="84"/>
          <w:szCs w:val="84"/>
        </w:rPr>
      </w:pPr>
      <w:r>
        <w:rPr>
          <w:rFonts w:hint="eastAsia" w:ascii="仿宋" w:hAnsi="仿宋" w:eastAsia="仿宋" w:cs="仿宋"/>
          <w:b/>
          <w:color w:val="auto"/>
          <w:kern w:val="0"/>
          <w:sz w:val="72"/>
          <w:szCs w:val="72"/>
          <w:lang w:eastAsia="zh-CN"/>
        </w:rPr>
        <w:t>比选</w:t>
      </w:r>
      <w:r>
        <w:rPr>
          <w:rFonts w:hint="eastAsia" w:ascii="仿宋" w:hAnsi="仿宋" w:eastAsia="仿宋" w:cs="仿宋"/>
          <w:b/>
          <w:color w:val="auto"/>
          <w:kern w:val="0"/>
          <w:sz w:val="72"/>
          <w:szCs w:val="72"/>
        </w:rPr>
        <w:t>响应文件</w:t>
      </w:r>
    </w:p>
    <w:p>
      <w:pPr>
        <w:pStyle w:val="14"/>
        <w:adjustRightInd w:val="0"/>
        <w:snapToGrid w:val="0"/>
        <w:spacing w:line="360" w:lineRule="auto"/>
        <w:jc w:val="center"/>
        <w:rPr>
          <w:rFonts w:hint="eastAsia" w:ascii="仿宋" w:hAnsi="仿宋" w:eastAsia="仿宋" w:cs="仿宋"/>
          <w:b/>
          <w:color w:val="auto"/>
          <w:kern w:val="0"/>
          <w:sz w:val="24"/>
          <w:szCs w:val="24"/>
        </w:rPr>
      </w:pPr>
      <w:r>
        <w:rPr>
          <w:rFonts w:hint="eastAsia" w:ascii="仿宋" w:hAnsi="仿宋" w:eastAsia="仿宋" w:cs="仿宋"/>
          <w:b/>
          <w:color w:val="auto"/>
          <w:sz w:val="48"/>
          <w:szCs w:val="48"/>
        </w:rPr>
        <w:t>（正本/副本）</w:t>
      </w:r>
    </w:p>
    <w:p>
      <w:pPr>
        <w:pStyle w:val="14"/>
        <w:adjustRightInd w:val="0"/>
        <w:snapToGrid w:val="0"/>
        <w:spacing w:line="440" w:lineRule="exact"/>
        <w:rPr>
          <w:rFonts w:hint="eastAsia" w:ascii="仿宋" w:hAnsi="仿宋" w:eastAsia="仿宋" w:cs="仿宋"/>
          <w:b/>
          <w:color w:val="auto"/>
          <w:kern w:val="0"/>
          <w:sz w:val="24"/>
          <w:szCs w:val="24"/>
        </w:rPr>
      </w:pPr>
    </w:p>
    <w:p>
      <w:pPr>
        <w:spacing w:line="500" w:lineRule="exact"/>
        <w:jc w:val="center"/>
        <w:rPr>
          <w:rFonts w:hint="eastAsia" w:ascii="仿宋" w:hAnsi="仿宋" w:eastAsia="仿宋" w:cs="仿宋"/>
          <w:b/>
          <w:color w:val="auto"/>
          <w:kern w:val="0"/>
          <w:sz w:val="24"/>
        </w:rPr>
      </w:pPr>
    </w:p>
    <w:p>
      <w:pPr>
        <w:pStyle w:val="14"/>
        <w:spacing w:line="360" w:lineRule="auto"/>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ind w:firstLine="562" w:firstLineChars="200"/>
        <w:jc w:val="left"/>
        <w:textAlignment w:val="auto"/>
        <w:rPr>
          <w:rFonts w:hint="default" w:ascii="仿宋" w:hAnsi="仿宋" w:eastAsia="仿宋" w:cs="仿宋"/>
          <w:b/>
          <w:color w:val="auto"/>
          <w:sz w:val="28"/>
          <w:szCs w:val="28"/>
          <w:lang w:val="en-US"/>
        </w:rPr>
      </w:pPr>
      <w:r>
        <w:rPr>
          <w:rFonts w:hint="eastAsia" w:ascii="仿宋" w:hAnsi="仿宋" w:eastAsia="仿宋" w:cs="宋体"/>
          <w:b/>
          <w:bCs/>
          <w:color w:val="auto"/>
          <w:sz w:val="28"/>
          <w:szCs w:val="28"/>
          <w:lang w:val="zh-CN" w:eastAsia="zh-CN"/>
        </w:rPr>
        <w:t>项目编号：</w:t>
      </w:r>
      <w:r>
        <w:rPr>
          <w:rFonts w:hint="eastAsia" w:ascii="仿宋" w:hAnsi="仿宋" w:eastAsia="仿宋" w:cs="仿宋"/>
          <w:b/>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pPr>
        <w:keepNext w:val="0"/>
        <w:keepLines w:val="0"/>
        <w:pageBreakBefore w:val="0"/>
        <w:widowControl w:val="0"/>
        <w:kinsoku/>
        <w:wordWrap/>
        <w:overflowPunct/>
        <w:topLinePunct w:val="0"/>
        <w:autoSpaceDE/>
        <w:autoSpaceDN/>
        <w:bidi w:val="0"/>
        <w:ind w:firstLine="562" w:firstLineChars="200"/>
        <w:jc w:val="left"/>
        <w:textAlignment w:val="auto"/>
        <w:rPr>
          <w:rFonts w:hint="default" w:ascii="仿宋" w:hAnsi="仿宋" w:eastAsia="仿宋" w:cs="仿宋"/>
          <w:b/>
          <w:color w:val="auto"/>
          <w:sz w:val="28"/>
          <w:szCs w:val="28"/>
          <w:lang w:val="en-US"/>
        </w:rPr>
      </w:pPr>
      <w:r>
        <w:rPr>
          <w:rFonts w:hint="eastAsia" w:ascii="仿宋" w:hAnsi="仿宋" w:eastAsia="仿宋" w:cs="宋体"/>
          <w:b/>
          <w:bCs/>
          <w:color w:val="auto"/>
          <w:sz w:val="28"/>
          <w:szCs w:val="28"/>
          <w:lang w:val="zh-CN" w:eastAsia="zh-CN"/>
        </w:rPr>
        <w:t>响应项目名称：</w:t>
      </w:r>
      <w:r>
        <w:rPr>
          <w:rFonts w:hint="eastAsia" w:ascii="仿宋" w:hAnsi="仿宋" w:eastAsia="仿宋" w:cs="仿宋"/>
          <w:b/>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ind w:firstLine="420" w:firstLineChars="200"/>
        <w:jc w:val="left"/>
        <w:textAlignment w:val="auto"/>
        <w:rPr>
          <w:rFonts w:hint="default" w:eastAsia="仿宋"/>
          <w:color w:val="auto"/>
          <w:lang w:val="en-US" w:eastAsia="zh-CN"/>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auto"/>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auto"/>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auto"/>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auto"/>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auto"/>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auto"/>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auto"/>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auto"/>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cs="仿宋"/>
          <w:b/>
          <w:color w:val="auto"/>
          <w:kern w:val="0"/>
          <w:sz w:val="24"/>
          <w:szCs w:val="24"/>
          <w:u w:val="single"/>
        </w:rPr>
      </w:pPr>
      <w:r>
        <w:rPr>
          <w:rFonts w:hint="eastAsia" w:ascii="仿宋" w:hAnsi="仿宋" w:eastAsia="仿宋" w:cs="宋体"/>
          <w:b/>
          <w:bCs/>
          <w:color w:val="auto"/>
          <w:kern w:val="2"/>
          <w:sz w:val="28"/>
          <w:szCs w:val="28"/>
          <w:lang w:val="zh-CN" w:eastAsia="zh-CN" w:bidi="ar-SA"/>
        </w:rPr>
        <w:t>响应供应商（盖公章）：</w:t>
      </w:r>
      <w:r>
        <w:rPr>
          <w:rFonts w:hint="eastAsia" w:ascii="仿宋" w:hAnsi="仿宋" w:eastAsia="仿宋" w:cs="仿宋"/>
          <w:b/>
          <w:color w:val="auto"/>
          <w:kern w:val="0"/>
          <w:sz w:val="24"/>
          <w:szCs w:val="24"/>
          <w:u w:val="single"/>
        </w:rPr>
        <w:t xml:space="preserve">                              </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center"/>
        <w:textAlignment w:val="auto"/>
        <w:rPr>
          <w:rFonts w:hint="eastAsia" w:ascii="仿宋" w:hAnsi="仿宋" w:eastAsia="仿宋" w:cs="仿宋"/>
          <w:b/>
          <w:color w:val="auto"/>
          <w:kern w:val="0"/>
          <w:sz w:val="24"/>
          <w:szCs w:val="24"/>
        </w:rPr>
      </w:pP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default" w:ascii="仿宋" w:hAnsi="仿宋" w:eastAsia="仿宋" w:cs="仿宋"/>
          <w:b/>
          <w:color w:val="auto"/>
          <w:kern w:val="0"/>
          <w:sz w:val="24"/>
          <w:szCs w:val="24"/>
          <w:u w:val="single"/>
          <w:lang w:val="en-US" w:eastAsia="zh-CN"/>
        </w:rPr>
      </w:pPr>
      <w:r>
        <w:rPr>
          <w:rFonts w:hint="eastAsia" w:ascii="仿宋" w:hAnsi="仿宋" w:eastAsia="仿宋" w:cs="宋体"/>
          <w:b/>
          <w:bCs/>
          <w:color w:val="auto"/>
          <w:kern w:val="2"/>
          <w:sz w:val="28"/>
          <w:szCs w:val="28"/>
          <w:lang w:val="zh-CN" w:eastAsia="zh-CN" w:bidi="ar-SA"/>
        </w:rPr>
        <w:t>日      期：</w:t>
      </w:r>
      <w:r>
        <w:rPr>
          <w:rFonts w:hint="eastAsia" w:ascii="仿宋" w:hAnsi="仿宋" w:eastAsia="仿宋" w:cs="仿宋"/>
          <w:b/>
          <w:color w:val="auto"/>
          <w:kern w:val="0"/>
          <w:sz w:val="24"/>
          <w:szCs w:val="24"/>
          <w:u w:val="single"/>
          <w:lang w:val="en-US" w:eastAsia="zh-CN"/>
        </w:rPr>
        <w:t xml:space="preserve">                              </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auto"/>
          <w:kern w:val="0"/>
          <w:sz w:val="24"/>
          <w:szCs w:val="24"/>
        </w:rPr>
      </w:pPr>
    </w:p>
    <w:p>
      <w:pPr>
        <w:pStyle w:val="14"/>
        <w:adjustRightInd w:val="0"/>
        <w:snapToGrid w:val="0"/>
        <w:spacing w:line="440" w:lineRule="exact"/>
        <w:rPr>
          <w:rFonts w:hint="eastAsia" w:ascii="仿宋" w:hAnsi="仿宋" w:eastAsia="仿宋" w:cs="仿宋"/>
          <w:b/>
          <w:color w:val="auto"/>
          <w:kern w:val="0"/>
          <w:sz w:val="24"/>
          <w:szCs w:val="24"/>
        </w:rPr>
      </w:pPr>
    </w:p>
    <w:p>
      <w:pPr>
        <w:pStyle w:val="14"/>
        <w:adjustRightInd w:val="0"/>
        <w:snapToGrid w:val="0"/>
        <w:spacing w:line="440" w:lineRule="exact"/>
        <w:rPr>
          <w:rFonts w:hint="eastAsia" w:ascii="仿宋" w:hAnsi="仿宋" w:eastAsia="仿宋" w:cs="仿宋"/>
          <w:b/>
          <w:color w:val="auto"/>
          <w:kern w:val="0"/>
          <w:sz w:val="24"/>
          <w:szCs w:val="24"/>
        </w:rPr>
      </w:pPr>
    </w:p>
    <w:p>
      <w:pPr>
        <w:rPr>
          <w:rFonts w:hint="eastAsia"/>
          <w:color w:val="auto"/>
        </w:rPr>
      </w:pPr>
    </w:p>
    <w:p>
      <w:pPr>
        <w:pStyle w:val="14"/>
        <w:adjustRightInd w:val="0"/>
        <w:snapToGrid w:val="0"/>
        <w:spacing w:line="440" w:lineRule="exact"/>
        <w:rPr>
          <w:rFonts w:hint="eastAsia" w:ascii="仿宋" w:hAnsi="仿宋" w:eastAsia="仿宋" w:cs="仿宋"/>
          <w:b/>
          <w:color w:val="auto"/>
          <w:kern w:val="0"/>
          <w:sz w:val="24"/>
          <w:szCs w:val="24"/>
        </w:rPr>
      </w:pPr>
    </w:p>
    <w:p>
      <w:pPr>
        <w:pStyle w:val="14"/>
        <w:adjustRightInd w:val="0"/>
        <w:snapToGrid w:val="0"/>
        <w:spacing w:line="440" w:lineRule="exact"/>
        <w:rPr>
          <w:rFonts w:hint="eastAsia" w:ascii="仿宋" w:hAnsi="仿宋" w:eastAsia="仿宋" w:cs="仿宋"/>
          <w:b/>
          <w:color w:val="auto"/>
          <w:kern w:val="0"/>
          <w:sz w:val="24"/>
          <w:szCs w:val="24"/>
        </w:rPr>
      </w:pPr>
    </w:p>
    <w:p>
      <w:pPr>
        <w:rPr>
          <w:rFonts w:hint="eastAsia" w:ascii="仿宋" w:hAnsi="仿宋" w:eastAsia="仿宋" w:cs="仿宋"/>
          <w:b/>
          <w:color w:val="auto"/>
          <w:kern w:val="0"/>
          <w:sz w:val="24"/>
          <w:szCs w:val="24"/>
        </w:rPr>
      </w:pPr>
    </w:p>
    <w:p>
      <w:pPr>
        <w:rPr>
          <w:rFonts w:hint="eastAsia" w:ascii="仿宋" w:hAnsi="仿宋" w:eastAsia="仿宋" w:cs="仿宋"/>
          <w:b/>
          <w:color w:val="auto"/>
          <w:kern w:val="0"/>
          <w:sz w:val="24"/>
          <w:szCs w:val="24"/>
        </w:rPr>
      </w:pPr>
    </w:p>
    <w:p>
      <w:pPr>
        <w:pStyle w:val="3"/>
        <w:keepNext/>
        <w:keepLines w:val="0"/>
        <w:pageBreakBefore w:val="0"/>
        <w:widowControl w:val="0"/>
        <w:tabs>
          <w:tab w:val="left" w:pos="4320"/>
        </w:tabs>
        <w:kinsoku/>
        <w:wordWrap/>
        <w:overflowPunct/>
        <w:topLinePunct w:val="0"/>
        <w:autoSpaceDE/>
        <w:autoSpaceDN/>
        <w:bidi w:val="0"/>
        <w:adjustRightInd/>
        <w:snapToGrid/>
        <w:spacing w:before="240" w:after="60" w:line="240" w:lineRule="atLeast"/>
        <w:ind w:firstLine="482"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资格性/符合性自查表</w:t>
      </w:r>
    </w:p>
    <w:tbl>
      <w:tblPr>
        <w:tblStyle w:val="31"/>
        <w:tblW w:w="9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16"/>
        <w:gridCol w:w="3801"/>
        <w:gridCol w:w="1854"/>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7"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评审内容</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采购文件要求</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自查结论</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6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资格性审查</w:t>
            </w:r>
          </w:p>
        </w:tc>
        <w:tc>
          <w:tcPr>
            <w:tcW w:w="12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准入条件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(关于资格的声明函)</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供应商应具备《中华人民共和国政府采购法》第二十二条规定的条件</w:t>
            </w:r>
            <w:r>
              <w:rPr>
                <w:rFonts w:hint="eastAsia" w:ascii="仿宋" w:hAnsi="仿宋" w:eastAsia="仿宋" w:cs="仿宋"/>
                <w:color w:val="auto"/>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具有独立承担民事责任的能力：在中华人民共和国境内注册的法人或其他组织或自然人，</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响应时提交有效的营业执照（或事业法人登记证或身份证等相关证明）副本复印件。分支机构投</w:t>
            </w:r>
            <w:r>
              <w:rPr>
                <w:rFonts w:hint="eastAsia" w:ascii="仿宋" w:hAnsi="仿宋" w:eastAsia="仿宋" w:cs="仿宋"/>
                <w:color w:val="auto"/>
                <w:sz w:val="24"/>
                <w:szCs w:val="24"/>
                <w:lang w:eastAsia="zh-CN"/>
              </w:rPr>
              <w:t>选</w:t>
            </w:r>
            <w:r>
              <w:rPr>
                <w:rFonts w:hint="eastAsia" w:ascii="仿宋" w:hAnsi="仿宋" w:eastAsia="仿宋" w:cs="仿宋"/>
                <w:color w:val="auto"/>
                <w:sz w:val="24"/>
                <w:szCs w:val="24"/>
              </w:rPr>
              <w:t>的，须提供总公司和分公司营业执照副本复印件，总公司出具给分支机构的授权书</w:t>
            </w:r>
            <w:r>
              <w:rPr>
                <w:rFonts w:hint="eastAsia" w:ascii="仿宋" w:hAnsi="仿宋" w:eastAsia="仿宋" w:cs="仿宋"/>
                <w:color w:val="auto"/>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有依法缴纳税收和社会保障资金的良好记录：</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响应时提供</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截止日前 6 个月内任意 1 个月依法缴纳税收和社会保障资金的相关材料。如依法免税或不需要缴纳社会保障资金的，提供相应证明材料。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具有良好的商业信誉和健全的财务会计制度：供应商必须具有良好的商业信誉和健全的财务会计制度</w:t>
            </w:r>
            <w:r>
              <w:rPr>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lang w:val="en-US" w:eastAsia="zh-CN"/>
              </w:rPr>
              <w:t>（</w:t>
            </w:r>
            <w:r>
              <w:rPr>
                <w:rFonts w:hint="eastAsia" w:ascii="仿宋" w:hAnsi="仿宋" w:eastAsia="仿宋" w:cs="仿宋"/>
                <w:color w:val="auto"/>
                <w:kern w:val="2"/>
                <w:sz w:val="24"/>
                <w:szCs w:val="24"/>
                <w:lang w:eastAsia="zh-CN"/>
              </w:rPr>
              <w:t>提供2024年度或</w:t>
            </w:r>
            <w:r>
              <w:rPr>
                <w:rFonts w:hint="eastAsia" w:ascii="仿宋" w:hAnsi="仿宋" w:eastAsia="仿宋" w:cs="仿宋"/>
                <w:color w:val="auto"/>
                <w:kern w:val="2"/>
                <w:sz w:val="24"/>
                <w:szCs w:val="24"/>
                <w:lang w:val="en-US" w:eastAsia="zh-CN"/>
              </w:rPr>
              <w:t>2025年度</w:t>
            </w:r>
            <w:r>
              <w:rPr>
                <w:rFonts w:hint="eastAsia" w:ascii="仿宋" w:hAnsi="仿宋" w:eastAsia="仿宋" w:cs="仿宋"/>
                <w:color w:val="auto"/>
                <w:kern w:val="2"/>
                <w:sz w:val="24"/>
                <w:szCs w:val="24"/>
                <w:lang w:eastAsia="zh-CN"/>
              </w:rPr>
              <w:t>财务状况报告或基本开户行出具的资信证明）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具有履行合同所必须的设备和专业技术能力，</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响应时供应商必须提供声明函。（</w:t>
            </w:r>
            <w:r>
              <w:rPr>
                <w:rFonts w:hint="eastAsia" w:ascii="仿宋" w:hAnsi="仿宋" w:eastAsia="仿宋" w:cs="仿宋"/>
                <w:color w:val="auto"/>
                <w:sz w:val="24"/>
                <w:szCs w:val="24"/>
                <w:lang w:val="en-US" w:eastAsia="zh-CN"/>
              </w:rPr>
              <w:t>提供</w:t>
            </w:r>
            <w:r>
              <w:rPr>
                <w:rFonts w:hint="eastAsia" w:ascii="仿宋" w:hAnsi="仿宋" w:eastAsia="仿宋" w:cs="仿宋"/>
                <w:color w:val="auto"/>
                <w:sz w:val="24"/>
                <w:szCs w:val="24"/>
              </w:rPr>
              <w:t>声明函，格式自拟）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参加采购活动前 3 年内，在经营活动中没有重大违法记录，</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响应时供应商必须提供声明函</w:t>
            </w:r>
            <w:r>
              <w:rPr>
                <w:rFonts w:hint="eastAsia" w:ascii="仿宋" w:hAnsi="仿宋" w:eastAsia="仿宋" w:cs="仿宋"/>
                <w:color w:val="auto"/>
                <w:sz w:val="24"/>
                <w:szCs w:val="24"/>
                <w:lang w:eastAsia="zh-CN"/>
              </w:rPr>
              <w:t>。</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提供承诺函，格式自拟）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落实政府采购政策需满足的资格要求：采购包整体专门面向中小企业，需提交相应的证明文件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（中小企业声明函或监狱企业的证明文件或残疾人福利性单位声明函）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本项目特定的资格要求：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信用记录：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w:t>
            </w:r>
            <w:r>
              <w:rPr>
                <w:rFonts w:hint="eastAsia" w:ascii="仿宋" w:hAnsi="仿宋" w:eastAsia="仿宋" w:cs="仿宋"/>
                <w:color w:val="auto"/>
                <w:sz w:val="24"/>
                <w:szCs w:val="24"/>
                <w:lang w:eastAsia="zh-CN"/>
              </w:rPr>
              <w:t>响应供应提供截图并加盖公章。</w:t>
            </w:r>
            <w:r>
              <w:rPr>
                <w:rFonts w:hint="eastAsia" w:ascii="仿宋" w:hAnsi="仿宋" w:eastAsia="仿宋" w:cs="仿宋"/>
                <w:color w:val="auto"/>
                <w:sz w:val="24"/>
                <w:szCs w:val="24"/>
              </w:rPr>
              <w:t>以资格审查人员于</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（响应）截止时间当天在“信用中国”网站（www.creditchina.gov.cn）及中国政府采购网（http://www.ccgp.gov.cn/）查询结果为准，如相关失信记录已失效，供应商需提供相关证明资料）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供应商必须符合法律、行政法规规定的其他条件：单位负责人为同一人或者存在直接控股、管理关系的不同供应商，不得同时参加本采购项目（或采购包）</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响应。为本项目提供整体设计、规范编制或者项目管理、监理、检测等服务的供应商，不得再参与本项目</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响应。</w:t>
            </w: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lang w:val="en-US" w:eastAsia="zh-CN"/>
              </w:rPr>
              <w:t>提供</w:t>
            </w:r>
            <w:r>
              <w:rPr>
                <w:rFonts w:hint="eastAsia" w:ascii="仿宋" w:hAnsi="仿宋" w:eastAsia="仿宋" w:cs="仿宋"/>
                <w:color w:val="auto"/>
                <w:kern w:val="2"/>
                <w:sz w:val="24"/>
                <w:szCs w:val="24"/>
              </w:rPr>
              <w:t>声明函，格式自拟）</w:t>
            </w:r>
          </w:p>
          <w:p>
            <w:pPr>
              <w:keepNext w:val="0"/>
              <w:keepLines w:val="0"/>
              <w:widowControl w:val="0"/>
              <w:suppressLineNumbers w:val="0"/>
              <w:shd w:val="clear" w:color="auto" w:fill="auto"/>
              <w:kinsoku/>
              <w:wordWrap/>
              <w:overflowPunct/>
              <w:topLinePunct w:val="0"/>
              <w:bidi w:val="0"/>
              <w:spacing w:before="0" w:beforeAutospacing="0" w:after="0" w:afterAutospacing="0" w:line="360" w:lineRule="exact"/>
              <w:ind w:left="0" w:right="0" w:firstLine="480" w:firstLineChars="200"/>
              <w:jc w:val="left"/>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3、满足《政府采购代理机构管理暂行办法》（财库〔2018〕2号）第十一条。</w:t>
            </w: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lang w:val="en-US" w:eastAsia="zh-CN"/>
              </w:rPr>
              <w:t>提供</w:t>
            </w:r>
            <w:r>
              <w:rPr>
                <w:rFonts w:hint="eastAsia" w:ascii="仿宋" w:hAnsi="仿宋" w:eastAsia="仿宋" w:cs="仿宋"/>
                <w:color w:val="auto"/>
                <w:kern w:val="2"/>
                <w:sz w:val="24"/>
                <w:szCs w:val="24"/>
              </w:rPr>
              <w:t>声明函，格式自拟）</w:t>
            </w:r>
            <w:r>
              <w:rPr>
                <w:rFonts w:hint="eastAsia" w:ascii="仿宋" w:hAnsi="仿宋" w:eastAsia="仿宋" w:cs="仿宋"/>
                <w:color w:val="auto"/>
                <w:kern w:val="2"/>
                <w:sz w:val="24"/>
                <w:szCs w:val="24"/>
                <w:lang w:val="en-US" w:eastAsia="zh-CN"/>
              </w:rPr>
              <w:t>。</w:t>
            </w:r>
          </w:p>
          <w:p>
            <w:pPr>
              <w:keepNext w:val="0"/>
              <w:keepLines w:val="0"/>
              <w:widowControl w:val="0"/>
              <w:suppressLineNumbers w:val="0"/>
              <w:shd w:val="clear" w:color="auto" w:fill="auto"/>
              <w:kinsoku/>
              <w:wordWrap/>
              <w:overflowPunct/>
              <w:topLinePunct w:val="0"/>
              <w:bidi w:val="0"/>
              <w:spacing w:before="0" w:beforeAutospacing="0" w:after="0" w:afterAutospacing="0" w:line="360" w:lineRule="exact"/>
              <w:ind w:left="0" w:right="0" w:firstLine="480" w:firstLineChars="200"/>
              <w:jc w:val="left"/>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4、广东省政府采购智慧云平台正式中介机构，</w:t>
            </w:r>
            <w:r>
              <w:rPr>
                <w:rFonts w:hint="eastAsia" w:ascii="仿宋" w:hAnsi="仿宋" w:eastAsia="仿宋" w:cs="仿宋"/>
                <w:color w:val="auto"/>
                <w:kern w:val="0"/>
                <w:sz w:val="24"/>
                <w:szCs w:val="24"/>
                <w:highlight w:val="none"/>
                <w:lang w:val="en-US" w:eastAsia="zh-CN"/>
              </w:rPr>
              <w:t>提供相关材料或相关截图</w:t>
            </w:r>
            <w:r>
              <w:rPr>
                <w:rFonts w:hint="eastAsia" w:ascii="仿宋" w:hAnsi="仿宋" w:eastAsia="仿宋" w:cs="仿宋"/>
                <w:color w:val="auto"/>
                <w:kern w:val="2"/>
                <w:sz w:val="24"/>
                <w:szCs w:val="24"/>
                <w:lang w:val="en-US" w:eastAsia="zh-CN"/>
              </w:rPr>
              <w:t>。</w:t>
            </w:r>
          </w:p>
          <w:p>
            <w:pPr>
              <w:keepNext w:val="0"/>
              <w:keepLines w:val="0"/>
              <w:widowControl w:val="0"/>
              <w:suppressLineNumbers w:val="0"/>
              <w:shd w:val="clear" w:color="auto" w:fill="auto"/>
              <w:kinsoku/>
              <w:wordWrap/>
              <w:overflowPunct/>
              <w:topLinePunct w:val="0"/>
              <w:bidi w:val="0"/>
              <w:spacing w:before="0" w:beforeAutospacing="0" w:after="0" w:afterAutospacing="0" w:line="360" w:lineRule="exact"/>
              <w:ind w:left="0" w:right="0" w:firstLine="480" w:firstLineChars="200"/>
              <w:jc w:val="left"/>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5、提供国家住建部全国建筑市场监管公共服务平台、惠州市公共资源交易中心、中正国标中易电子交易平台的注册或备案证明（提供查询或操作截图）。未在国家住建部全国建筑市场监管公共服务平台、中正国标中易电子交易平台办理注册或备案手续的，须承诺在承接代理项目前完成注册或备案手续，否则我院有权取消其中选资格。（提供承诺函，格式自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.本项目不接受联合</w:t>
            </w:r>
            <w:r>
              <w:rPr>
                <w:rFonts w:hint="eastAsia" w:ascii="仿宋" w:hAnsi="仿宋" w:eastAsia="仿宋" w:cs="仿宋"/>
                <w:color w:val="auto"/>
                <w:sz w:val="24"/>
                <w:szCs w:val="24"/>
                <w:lang w:eastAsia="zh-CN"/>
              </w:rPr>
              <w:t>体响应：</w:t>
            </w:r>
            <w:r>
              <w:rPr>
                <w:rFonts w:hint="eastAsia" w:ascii="仿宋" w:hAnsi="仿宋" w:eastAsia="仿宋" w:cs="仿宋"/>
                <w:color w:val="auto"/>
                <w:sz w:val="24"/>
                <w:szCs w:val="24"/>
                <w:lang w:val="zh-CN" w:eastAsia="zh-CN"/>
              </w:rPr>
              <w:t>本项目不接受联合体响应，不允许响应供应商对本比选项目进行违法分包和转包。</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提供</w:t>
            </w:r>
            <w:r>
              <w:rPr>
                <w:rFonts w:hint="eastAsia" w:ascii="仿宋" w:hAnsi="仿宋" w:eastAsia="仿宋" w:cs="仿宋"/>
                <w:kern w:val="0"/>
                <w:sz w:val="24"/>
                <w:szCs w:val="24"/>
              </w:rPr>
              <w:t>声明函，格式自拟）</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□通过  □不通过</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符合性审查</w:t>
            </w:r>
          </w:p>
        </w:tc>
        <w:tc>
          <w:tcPr>
            <w:tcW w:w="12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文件规定要求签署、盖章</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文件规定要求签署、盖章且</w:t>
            </w:r>
            <w:r>
              <w:rPr>
                <w:rFonts w:hint="eastAsia" w:ascii="仿宋" w:hAnsi="仿宋" w:eastAsia="仿宋" w:cs="仿宋"/>
                <w:color w:val="auto"/>
                <w:sz w:val="24"/>
                <w:szCs w:val="24"/>
                <w:lang w:eastAsia="zh-CN"/>
              </w:rPr>
              <w:t>比选响应</w:t>
            </w:r>
            <w:r>
              <w:rPr>
                <w:rFonts w:hint="eastAsia" w:ascii="仿宋" w:hAnsi="仿宋" w:eastAsia="仿宋" w:cs="仿宋"/>
                <w:color w:val="auto"/>
                <w:sz w:val="24"/>
                <w:szCs w:val="24"/>
              </w:rPr>
              <w:t>文件有法定代表人签字或盖个人私章（或签字人有法定代表人有效授权书）</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□通过  □不通过</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4"/>
                <w:szCs w:val="24"/>
              </w:rPr>
            </w:pPr>
          </w:p>
        </w:tc>
        <w:tc>
          <w:tcPr>
            <w:tcW w:w="12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有效期不少于</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文件中载明的</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有效期</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函已提交并符合</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文件要求的，且</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有效期不少于</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文件中载明的</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有效期</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□通过  □不通过</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4"/>
                <w:szCs w:val="24"/>
              </w:rPr>
            </w:pPr>
          </w:p>
        </w:tc>
        <w:tc>
          <w:tcPr>
            <w:tcW w:w="12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报价要求</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文件的报价方式、 报价要求进行了报价且报价方案是唯一确定，未超出采购预算</w:t>
            </w:r>
            <w:r>
              <w:rPr>
                <w:rFonts w:hint="eastAsia" w:ascii="仿宋" w:hAnsi="仿宋" w:eastAsia="仿宋" w:cs="仿宋"/>
                <w:color w:val="auto"/>
                <w:sz w:val="24"/>
                <w:szCs w:val="24"/>
                <w:lang w:eastAsia="zh-CN"/>
              </w:rPr>
              <w:t>。</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通过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不通过</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4"/>
                <w:szCs w:val="24"/>
              </w:rPr>
            </w:pPr>
          </w:p>
        </w:tc>
        <w:tc>
          <w:tcPr>
            <w:tcW w:w="12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“★”号条款的响应情况</w:t>
            </w:r>
          </w:p>
        </w:tc>
        <w:tc>
          <w:tcPr>
            <w:tcW w:w="38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文件完全满足</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文件的实质性条款（即标注★号条款）无负偏离</w:t>
            </w:r>
          </w:p>
        </w:tc>
        <w:tc>
          <w:tcPr>
            <w:tcW w:w="18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71"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□通过  □不通过</w:t>
            </w:r>
          </w:p>
        </w:tc>
        <w:tc>
          <w:tcPr>
            <w:tcW w:w="20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见响应文件第（）页</w:t>
            </w:r>
          </w:p>
        </w:tc>
      </w:tr>
    </w:tbl>
    <w:p>
      <w:pPr>
        <w:rPr>
          <w:rFonts w:hint="eastAsia"/>
          <w:color w:val="auto"/>
        </w:rPr>
      </w:pPr>
    </w:p>
    <w:p>
      <w:pPr>
        <w:pStyle w:val="10"/>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注：以上材料将作为响应供应商合格性和有效性审核的重要内容之一，响应供应商必须严格按照其内容及要求在响应文件中对应序列如实提供，对缺漏和不符合项将会直接导致响应无效！在对应的□打“√”，并</w:t>
      </w:r>
      <w:r>
        <w:rPr>
          <w:rFonts w:hint="eastAsia" w:ascii="仿宋" w:hAnsi="仿宋" w:eastAsia="仿宋" w:cs="仿宋"/>
          <w:b/>
          <w:bCs/>
          <w:color w:val="auto"/>
          <w:sz w:val="24"/>
          <w:szCs w:val="24"/>
          <w:lang w:eastAsia="zh-CN"/>
        </w:rPr>
        <w:t>选</w:t>
      </w:r>
      <w:r>
        <w:rPr>
          <w:rFonts w:hint="eastAsia" w:ascii="仿宋" w:hAnsi="仿宋" w:eastAsia="仿宋" w:cs="仿宋"/>
          <w:b/>
          <w:bCs/>
          <w:color w:val="auto"/>
          <w:sz w:val="24"/>
          <w:szCs w:val="24"/>
        </w:rPr>
        <w:t>注页码。</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p>
    <w:p>
      <w:pPr>
        <w:pStyle w:val="1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响应供应商法定代表人（或法定代表人授权代表）签字：</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响应供应商名称（签章）：</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cs="仿宋"/>
          <w:color w:val="auto"/>
          <w:sz w:val="24"/>
        </w:rPr>
      </w:pPr>
      <w:r>
        <w:rPr>
          <w:rFonts w:hint="eastAsia" w:ascii="仿宋" w:hAnsi="仿宋" w:eastAsia="仿宋" w:cs="仿宋"/>
          <w:color w:val="auto"/>
          <w:sz w:val="24"/>
        </w:rPr>
        <w:t>日期：   年   月   日</w:t>
      </w:r>
    </w:p>
    <w:p>
      <w:pPr>
        <w:adjustRightInd w:val="0"/>
        <w:snapToGrid w:val="0"/>
        <w:spacing w:line="300" w:lineRule="auto"/>
        <w:rPr>
          <w:rFonts w:hint="eastAsia" w:ascii="仿宋" w:hAnsi="仿宋" w:eastAsia="仿宋" w:cs="仿宋"/>
          <w:b/>
          <w:bCs/>
          <w:color w:val="auto"/>
          <w:sz w:val="24"/>
          <w:szCs w:val="24"/>
        </w:rPr>
      </w:pPr>
      <w:r>
        <w:rPr>
          <w:rFonts w:ascii="仿宋" w:hAnsi="仿宋" w:eastAsia="仿宋" w:cs="仿宋"/>
          <w:color w:val="auto"/>
          <w:sz w:val="24"/>
        </w:rPr>
        <w:br w:type="page"/>
      </w:r>
      <w:r>
        <w:rPr>
          <w:rFonts w:hint="eastAsia" w:ascii="仿宋" w:hAnsi="仿宋" w:eastAsia="仿宋" w:cs="仿宋"/>
          <w:b/>
          <w:bCs/>
          <w:color w:val="auto"/>
          <w:sz w:val="24"/>
          <w:szCs w:val="24"/>
          <w:lang w:eastAsia="zh-CN"/>
        </w:rPr>
        <w:t>二、</w:t>
      </w:r>
      <w:r>
        <w:rPr>
          <w:rFonts w:hint="eastAsia" w:ascii="仿宋" w:hAnsi="仿宋" w:eastAsia="仿宋" w:cs="仿宋"/>
          <w:b/>
          <w:bCs/>
          <w:color w:val="auto"/>
          <w:sz w:val="24"/>
          <w:szCs w:val="24"/>
        </w:rPr>
        <w:t>评审项目响应资料表</w:t>
      </w:r>
    </w:p>
    <w:tbl>
      <w:tblPr>
        <w:tblStyle w:val="31"/>
        <w:tblW w:w="9106" w:type="dxa"/>
        <w:jc w:val="center"/>
        <w:tblLayout w:type="fixed"/>
        <w:tblCellMar>
          <w:top w:w="0" w:type="dxa"/>
          <w:left w:w="108" w:type="dxa"/>
          <w:bottom w:w="0" w:type="dxa"/>
          <w:right w:w="108" w:type="dxa"/>
        </w:tblCellMar>
      </w:tblPr>
      <w:tblGrid>
        <w:gridCol w:w="1769"/>
        <w:gridCol w:w="5432"/>
        <w:gridCol w:w="1905"/>
      </w:tblGrid>
      <w:tr>
        <w:tblPrEx>
          <w:tblCellMar>
            <w:top w:w="0" w:type="dxa"/>
            <w:left w:w="108" w:type="dxa"/>
            <w:bottom w:w="0" w:type="dxa"/>
            <w:right w:w="108" w:type="dxa"/>
          </w:tblCellMar>
        </w:tblPrEx>
        <w:trPr>
          <w:trHeight w:val="480"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pStyle w:val="67"/>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Cs w:val="24"/>
                <w:lang w:val="en-US" w:eastAsia="zh-CN"/>
              </w:rPr>
            </w:pPr>
            <w:r>
              <w:rPr>
                <w:rFonts w:hint="eastAsia" w:ascii="仿宋" w:hAnsi="仿宋" w:eastAsia="仿宋" w:cs="仿宋"/>
                <w:b/>
                <w:bCs/>
                <w:snapToGrid/>
                <w:color w:val="auto"/>
                <w:spacing w:val="0"/>
                <w:kern w:val="2"/>
                <w:szCs w:val="24"/>
                <w:lang w:val="en-US" w:eastAsia="zh-CN"/>
              </w:rPr>
              <w:t>评审分项</w:t>
            </w:r>
          </w:p>
          <w:p>
            <w:pPr>
              <w:pStyle w:val="67"/>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 w:val="24"/>
                <w:szCs w:val="24"/>
                <w:lang w:val="en-US" w:eastAsia="zh-CN" w:bidi="ar-SA"/>
              </w:rPr>
            </w:pPr>
            <w:r>
              <w:rPr>
                <w:rFonts w:hint="eastAsia" w:ascii="仿宋" w:hAnsi="仿宋" w:eastAsia="仿宋" w:cs="仿宋"/>
                <w:b/>
                <w:bCs/>
                <w:snapToGrid/>
                <w:color w:val="auto"/>
                <w:spacing w:val="0"/>
                <w:kern w:val="2"/>
                <w:szCs w:val="24"/>
                <w:lang w:val="en-US" w:eastAsia="zh-CN"/>
              </w:rPr>
              <w:t>（评分标准）</w:t>
            </w:r>
          </w:p>
        </w:tc>
        <w:tc>
          <w:tcPr>
            <w:tcW w:w="5432" w:type="dxa"/>
            <w:tcBorders>
              <w:top w:val="single" w:color="auto" w:sz="4" w:space="0"/>
              <w:left w:val="nil"/>
              <w:bottom w:val="single" w:color="auto" w:sz="4" w:space="0"/>
              <w:right w:val="single" w:color="auto" w:sz="4" w:space="0"/>
            </w:tcBorders>
            <w:noWrap w:val="0"/>
            <w:vAlign w:val="center"/>
          </w:tcPr>
          <w:p>
            <w:pPr>
              <w:pStyle w:val="67"/>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 w:val="24"/>
                <w:szCs w:val="24"/>
                <w:lang w:val="en-US" w:eastAsia="zh-CN" w:bidi="ar-SA"/>
              </w:rPr>
            </w:pPr>
            <w:r>
              <w:rPr>
                <w:rFonts w:hint="eastAsia" w:ascii="仿宋" w:hAnsi="仿宋" w:eastAsia="仿宋" w:cs="仿宋"/>
                <w:b/>
                <w:bCs/>
                <w:snapToGrid/>
                <w:color w:val="auto"/>
                <w:spacing w:val="0"/>
                <w:kern w:val="2"/>
                <w:szCs w:val="24"/>
                <w:lang w:val="en-US" w:eastAsia="zh-CN"/>
              </w:rPr>
              <w:t>评审内容</w:t>
            </w:r>
          </w:p>
        </w:tc>
        <w:tc>
          <w:tcPr>
            <w:tcW w:w="1905" w:type="dxa"/>
            <w:tcBorders>
              <w:top w:val="single" w:color="auto" w:sz="4" w:space="0"/>
              <w:left w:val="nil"/>
              <w:bottom w:val="single" w:color="auto" w:sz="4" w:space="0"/>
              <w:right w:val="single" w:color="auto" w:sz="4" w:space="0"/>
            </w:tcBorders>
            <w:noWrap w:val="0"/>
            <w:vAlign w:val="center"/>
          </w:tcPr>
          <w:p>
            <w:pPr>
              <w:pStyle w:val="67"/>
              <w:keepNext w:val="0"/>
              <w:keepLines w:val="0"/>
              <w:suppressLineNumbers w:val="0"/>
              <w:adjustRightInd/>
              <w:spacing w:before="0" w:beforeAutospacing="0" w:after="0" w:afterAutospacing="0" w:line="240" w:lineRule="auto"/>
              <w:ind w:left="0" w:right="0"/>
              <w:jc w:val="center"/>
              <w:textAlignment w:val="auto"/>
              <w:rPr>
                <w:rFonts w:hint="eastAsia" w:ascii="仿宋" w:hAnsi="仿宋" w:eastAsia="仿宋" w:cs="仿宋"/>
                <w:b/>
                <w:bCs/>
                <w:snapToGrid/>
                <w:color w:val="auto"/>
                <w:spacing w:val="0"/>
                <w:kern w:val="2"/>
                <w:sz w:val="24"/>
                <w:szCs w:val="24"/>
                <w:lang w:val="en-US" w:eastAsia="zh-CN" w:bidi="ar-SA"/>
              </w:rPr>
            </w:pPr>
            <w:r>
              <w:rPr>
                <w:rFonts w:hint="eastAsia" w:ascii="仿宋" w:hAnsi="仿宋" w:eastAsia="仿宋" w:cs="仿宋"/>
                <w:b/>
                <w:bCs/>
                <w:snapToGrid/>
                <w:color w:val="auto"/>
                <w:spacing w:val="0"/>
                <w:kern w:val="2"/>
                <w:szCs w:val="24"/>
                <w:lang w:val="en-US" w:eastAsia="zh-CN"/>
              </w:rPr>
              <w:t>证明文件</w:t>
            </w:r>
          </w:p>
        </w:tc>
      </w:tr>
      <w:tr>
        <w:tblPrEx>
          <w:tblCellMar>
            <w:top w:w="0" w:type="dxa"/>
            <w:left w:w="108" w:type="dxa"/>
            <w:bottom w:w="0" w:type="dxa"/>
            <w:right w:w="108" w:type="dxa"/>
          </w:tblCellMar>
        </w:tblPrEx>
        <w:trPr>
          <w:trHeight w:val="791"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进度措施方案</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val="en-GB" w:eastAsia="zh-CN"/>
              </w:rPr>
            </w:pPr>
            <w:r>
              <w:rPr>
                <w:rFonts w:hint="eastAsia" w:ascii="仿宋" w:hAnsi="仿宋" w:eastAsia="仿宋" w:cs="仿宋"/>
                <w:color w:val="auto"/>
                <w:kern w:val="2"/>
                <w:sz w:val="24"/>
                <w:szCs w:val="24"/>
                <w:highlight w:val="none"/>
                <w:lang w:val="en-US" w:eastAsia="zh-CN" w:bidi="ar-SA"/>
              </w:rPr>
              <w:t>根据各响应供应商进度措施方案（包括但不限于</w:t>
            </w:r>
            <w:r>
              <w:rPr>
                <w:rFonts w:hint="eastAsia" w:ascii="仿宋" w:hAnsi="仿宋" w:eastAsia="仿宋" w:cs="仿宋"/>
                <w:b w:val="0"/>
                <w:bCs w:val="0"/>
                <w:i w:val="0"/>
                <w:iCs w:val="0"/>
                <w:caps w:val="0"/>
                <w:color w:val="auto"/>
                <w:spacing w:val="0"/>
                <w:kern w:val="2"/>
                <w:sz w:val="24"/>
                <w:szCs w:val="24"/>
                <w:highlight w:val="none"/>
                <w:shd w:val="clear"/>
                <w:lang w:bidi="ar-SA"/>
              </w:rPr>
              <w:t>详细的进度计划</w:t>
            </w:r>
            <w:r>
              <w:rPr>
                <w:rFonts w:hint="eastAsia" w:ascii="仿宋" w:hAnsi="仿宋" w:eastAsia="仿宋" w:cs="仿宋"/>
                <w:b w:val="0"/>
                <w:bCs w:val="0"/>
                <w:i w:val="0"/>
                <w:iCs w:val="0"/>
                <w:caps w:val="0"/>
                <w:color w:val="auto"/>
                <w:spacing w:val="0"/>
                <w:kern w:val="2"/>
                <w:sz w:val="24"/>
                <w:szCs w:val="24"/>
                <w:highlight w:val="none"/>
                <w:shd w:val="clear"/>
                <w:lang w:eastAsia="zh-CN" w:bidi="ar-SA"/>
              </w:rPr>
              <w:t>、</w:t>
            </w:r>
            <w:r>
              <w:rPr>
                <w:rFonts w:hint="eastAsia" w:ascii="仿宋" w:hAnsi="仿宋" w:eastAsia="仿宋" w:cs="仿宋"/>
                <w:color w:val="auto"/>
                <w:sz w:val="24"/>
                <w:szCs w:val="24"/>
                <w:highlight w:val="none"/>
                <w:lang w:val="en-US" w:eastAsia="zh-CN"/>
              </w:rPr>
              <w:t>实施效率、响应时效、</w:t>
            </w:r>
            <w:r>
              <w:rPr>
                <w:rFonts w:hint="eastAsia" w:ascii="仿宋" w:hAnsi="仿宋" w:eastAsia="仿宋" w:cs="仿宋"/>
                <w:b w:val="0"/>
                <w:bCs w:val="0"/>
                <w:i w:val="0"/>
                <w:iCs w:val="0"/>
                <w:caps w:val="0"/>
                <w:color w:val="auto"/>
                <w:spacing w:val="0"/>
                <w:kern w:val="2"/>
                <w:sz w:val="24"/>
                <w:szCs w:val="24"/>
                <w:highlight w:val="none"/>
                <w:shd w:val="clear"/>
                <w:lang w:bidi="ar-SA"/>
              </w:rPr>
              <w:t>资源保障</w:t>
            </w:r>
            <w:r>
              <w:rPr>
                <w:rFonts w:hint="eastAsia" w:ascii="仿宋" w:hAnsi="仿宋" w:eastAsia="仿宋" w:cs="仿宋"/>
                <w:b w:val="0"/>
                <w:bCs w:val="0"/>
                <w:i w:val="0"/>
                <w:iCs w:val="0"/>
                <w:caps w:val="0"/>
                <w:color w:val="auto"/>
                <w:spacing w:val="0"/>
                <w:kern w:val="2"/>
                <w:sz w:val="24"/>
                <w:szCs w:val="24"/>
                <w:highlight w:val="none"/>
                <w:shd w:val="clear"/>
                <w:lang w:eastAsia="zh-CN" w:bidi="ar-SA"/>
              </w:rPr>
              <w:t>、</w:t>
            </w:r>
            <w:r>
              <w:rPr>
                <w:rFonts w:hint="eastAsia" w:ascii="仿宋" w:hAnsi="仿宋" w:eastAsia="仿宋" w:cs="仿宋"/>
                <w:b w:val="0"/>
                <w:bCs w:val="0"/>
                <w:i w:val="0"/>
                <w:iCs w:val="0"/>
                <w:caps w:val="0"/>
                <w:color w:val="auto"/>
                <w:spacing w:val="0"/>
                <w:kern w:val="2"/>
                <w:sz w:val="24"/>
                <w:szCs w:val="24"/>
                <w:highlight w:val="none"/>
                <w:shd w:val="clear"/>
                <w:lang w:bidi="ar-SA"/>
              </w:rPr>
              <w:t>进度控制方法</w:t>
            </w:r>
            <w:r>
              <w:rPr>
                <w:rFonts w:hint="eastAsia" w:ascii="仿宋" w:hAnsi="仿宋" w:eastAsia="仿宋" w:cs="仿宋"/>
                <w:b w:val="0"/>
                <w:bCs w:val="0"/>
                <w:i w:val="0"/>
                <w:iCs w:val="0"/>
                <w:caps w:val="0"/>
                <w:color w:val="auto"/>
                <w:spacing w:val="0"/>
                <w:kern w:val="2"/>
                <w:sz w:val="24"/>
                <w:szCs w:val="24"/>
                <w:highlight w:val="none"/>
                <w:shd w:val="clear"/>
                <w:lang w:val="en-US" w:eastAsia="zh-CN" w:bidi="ar-SA"/>
              </w:rPr>
              <w:t>等）</w:t>
            </w:r>
            <w:r>
              <w:rPr>
                <w:rFonts w:hint="eastAsia" w:ascii="仿宋" w:hAnsi="仿宋" w:eastAsia="仿宋" w:cs="仿宋"/>
                <w:color w:val="auto"/>
                <w:kern w:val="2"/>
                <w:sz w:val="24"/>
                <w:szCs w:val="24"/>
                <w:highlight w:val="none"/>
                <w:lang w:val="en-US" w:eastAsia="zh-CN" w:bidi="ar-SA"/>
              </w:rPr>
              <w:t>进行评审。</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见响应文件第（      ）页</w:t>
            </w:r>
          </w:p>
        </w:tc>
      </w:tr>
      <w:tr>
        <w:tblPrEx>
          <w:tblCellMar>
            <w:top w:w="0" w:type="dxa"/>
            <w:left w:w="108" w:type="dxa"/>
            <w:bottom w:w="0" w:type="dxa"/>
            <w:right w:w="108" w:type="dxa"/>
          </w:tblCellMar>
        </w:tblPrEx>
        <w:trPr>
          <w:trHeight w:val="791" w:hRule="atLeast"/>
          <w:jc w:val="center"/>
        </w:trPr>
        <w:tc>
          <w:tcPr>
            <w:tcW w:w="1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采购代理服务方案</w:t>
            </w:r>
          </w:p>
        </w:tc>
        <w:tc>
          <w:tcPr>
            <w:tcW w:w="54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rightChars="0" w:firstLine="480" w:firstLineChars="200"/>
              <w:jc w:val="both"/>
              <w:textAlignment w:val="auto"/>
              <w:rPr>
                <w:rFonts w:hint="eastAsia" w:ascii="仿宋" w:hAnsi="仿宋" w:eastAsia="仿宋" w:cs="仿宋"/>
                <w:color w:val="auto"/>
                <w:kern w:val="2"/>
                <w:sz w:val="24"/>
                <w:szCs w:val="24"/>
                <w:highlight w:val="none"/>
                <w:lang w:val="en-GB" w:eastAsia="zh-CN" w:bidi="ar-SA"/>
              </w:rPr>
            </w:pPr>
            <w:r>
              <w:rPr>
                <w:rFonts w:hint="eastAsia" w:ascii="仿宋" w:hAnsi="仿宋" w:eastAsia="仿宋" w:cs="仿宋"/>
                <w:color w:val="auto"/>
                <w:kern w:val="2"/>
                <w:sz w:val="24"/>
                <w:szCs w:val="24"/>
                <w:highlight w:val="none"/>
                <w:lang w:val="en-US" w:eastAsia="zh-CN" w:bidi="ar-SA"/>
              </w:rPr>
              <w:t>根据各响应供应商提供的采购代理服务方案（包括但不限于服务承诺、质量控制、质疑处理预案、文件编制与审查、应急处理、风险控制、其他增值服务、全流程电子化采购等）进行综合评审。</w:t>
            </w:r>
          </w:p>
        </w:tc>
        <w:tc>
          <w:tcPr>
            <w:tcW w:w="1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见响应文件第（      ）页</w:t>
            </w:r>
          </w:p>
        </w:tc>
      </w:tr>
      <w:tr>
        <w:tblPrEx>
          <w:tblCellMar>
            <w:top w:w="0" w:type="dxa"/>
            <w:left w:w="108" w:type="dxa"/>
            <w:bottom w:w="0" w:type="dxa"/>
            <w:right w:w="108" w:type="dxa"/>
          </w:tblCellMar>
        </w:tblPrEx>
        <w:trPr>
          <w:trHeight w:val="568"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人员配备</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both"/>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kern w:val="2"/>
                <w:sz w:val="24"/>
                <w:szCs w:val="24"/>
                <w:highlight w:val="none"/>
                <w:lang w:val="en-US" w:eastAsia="zh-CN" w:bidi="ar-SA"/>
              </w:rPr>
              <w:t>根据各响应供应商拟派出的人员配备情况进行综合。</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见响应文件第（      ）页</w:t>
            </w:r>
          </w:p>
        </w:tc>
      </w:tr>
      <w:tr>
        <w:tblPrEx>
          <w:tblCellMar>
            <w:top w:w="0" w:type="dxa"/>
            <w:left w:w="108" w:type="dxa"/>
            <w:bottom w:w="0" w:type="dxa"/>
            <w:right w:w="108" w:type="dxa"/>
          </w:tblCellMar>
        </w:tblPrEx>
        <w:trPr>
          <w:trHeight w:val="568"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场地条件</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both"/>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kern w:val="2"/>
                <w:sz w:val="24"/>
                <w:szCs w:val="24"/>
                <w:highlight w:val="none"/>
                <w:lang w:val="en-US" w:eastAsia="zh-CN" w:bidi="ar-SA"/>
              </w:rPr>
              <w:t>根据各响应供应商的开评标室情况进行评审</w:t>
            </w:r>
            <w:r>
              <w:rPr>
                <w:rFonts w:hint="eastAsia" w:ascii="仿宋" w:hAnsi="仿宋" w:eastAsia="仿宋" w:cs="仿宋"/>
                <w:color w:val="auto"/>
                <w:sz w:val="24"/>
                <w:szCs w:val="24"/>
                <w:highlight w:val="none"/>
                <w:lang w:val="en-GB" w:eastAsia="zh-CN"/>
              </w:rPr>
              <w:t>。</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见响应文件第（      ）页</w:t>
            </w:r>
          </w:p>
        </w:tc>
      </w:tr>
      <w:tr>
        <w:tblPrEx>
          <w:tblCellMar>
            <w:top w:w="0" w:type="dxa"/>
            <w:left w:w="108" w:type="dxa"/>
            <w:bottom w:w="0" w:type="dxa"/>
            <w:right w:w="108" w:type="dxa"/>
          </w:tblCellMar>
        </w:tblPrEx>
        <w:trPr>
          <w:trHeight w:val="568"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同类业绩</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both"/>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kern w:val="2"/>
                <w:sz w:val="24"/>
                <w:szCs w:val="24"/>
                <w:highlight w:val="none"/>
                <w:lang w:val="en-US" w:eastAsia="zh-CN" w:bidi="ar-SA"/>
              </w:rPr>
              <w:t>同类业绩</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见响应文件第（      ）页</w:t>
            </w:r>
          </w:p>
        </w:tc>
      </w:tr>
      <w:tr>
        <w:tblPrEx>
          <w:tblCellMar>
            <w:top w:w="0" w:type="dxa"/>
            <w:left w:w="108" w:type="dxa"/>
            <w:bottom w:w="0" w:type="dxa"/>
            <w:right w:w="108" w:type="dxa"/>
          </w:tblCellMar>
        </w:tblPrEx>
        <w:trPr>
          <w:trHeight w:val="539"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用户满意度评价</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both"/>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rPr>
              <w:t>根据</w:t>
            </w:r>
            <w:r>
              <w:rPr>
                <w:rFonts w:hint="eastAsia" w:ascii="仿宋" w:hAnsi="仿宋" w:eastAsia="仿宋" w:cs="仿宋"/>
                <w:color w:val="auto"/>
                <w:kern w:val="2"/>
                <w:sz w:val="24"/>
                <w:szCs w:val="24"/>
                <w:highlight w:val="none"/>
                <w:lang w:val="en-US" w:eastAsia="zh-CN" w:bidi="ar-SA"/>
              </w:rPr>
              <w:t>各响应供应商</w:t>
            </w:r>
            <w:r>
              <w:rPr>
                <w:rFonts w:hint="eastAsia" w:ascii="仿宋" w:hAnsi="仿宋" w:eastAsia="仿宋" w:cs="仿宋"/>
                <w:color w:val="auto"/>
                <w:sz w:val="24"/>
                <w:szCs w:val="24"/>
              </w:rPr>
              <w:t>提供</w:t>
            </w:r>
            <w:r>
              <w:rPr>
                <w:rFonts w:hint="eastAsia" w:ascii="仿宋" w:hAnsi="仿宋" w:eastAsia="仿宋" w:cs="仿宋"/>
                <w:color w:val="0000FF"/>
                <w:kern w:val="2"/>
                <w:sz w:val="24"/>
                <w:szCs w:val="24"/>
                <w:highlight w:val="none"/>
                <w:lang w:val="en-US" w:eastAsia="zh-CN" w:bidi="ar-SA"/>
              </w:rPr>
              <w:t>招标代理</w:t>
            </w:r>
            <w:r>
              <w:rPr>
                <w:rFonts w:hint="eastAsia" w:ascii="仿宋" w:hAnsi="仿宋" w:eastAsia="仿宋" w:cs="仿宋"/>
                <w:color w:val="auto"/>
                <w:kern w:val="2"/>
                <w:sz w:val="24"/>
                <w:szCs w:val="24"/>
                <w:highlight w:val="none"/>
                <w:lang w:val="en-US" w:eastAsia="zh-CN" w:bidi="ar-SA"/>
              </w:rPr>
              <w:t>业绩</w:t>
            </w:r>
            <w:r>
              <w:rPr>
                <w:rFonts w:hint="eastAsia" w:ascii="仿宋" w:hAnsi="仿宋" w:eastAsia="仿宋" w:cs="仿宋"/>
                <w:color w:val="auto"/>
                <w:sz w:val="24"/>
                <w:szCs w:val="24"/>
              </w:rPr>
              <w:t>的用户满意度评价</w:t>
            </w:r>
            <w:r>
              <w:rPr>
                <w:rFonts w:hint="eastAsia" w:ascii="仿宋" w:hAnsi="仿宋" w:eastAsia="仿宋" w:cs="仿宋"/>
                <w:color w:val="auto"/>
                <w:sz w:val="24"/>
                <w:szCs w:val="24"/>
                <w:lang w:eastAsia="zh-CN"/>
              </w:rPr>
              <w:t>。</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见响应文件第（      ）页</w:t>
            </w:r>
          </w:p>
        </w:tc>
      </w:tr>
      <w:tr>
        <w:tblPrEx>
          <w:tblCellMar>
            <w:top w:w="0" w:type="dxa"/>
            <w:left w:w="108" w:type="dxa"/>
            <w:bottom w:w="0" w:type="dxa"/>
            <w:right w:w="108" w:type="dxa"/>
          </w:tblCellMar>
        </w:tblPrEx>
        <w:trPr>
          <w:trHeight w:val="539"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档案管理方案</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both"/>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kern w:val="2"/>
                <w:sz w:val="24"/>
                <w:szCs w:val="24"/>
                <w:highlight w:val="none"/>
                <w:lang w:val="en-US" w:eastAsia="zh-CN" w:bidi="ar-SA"/>
              </w:rPr>
              <w:t>根据各响应供应商提供的档案管理方案进行评审，包括纸质档案、电子档案</w:t>
            </w:r>
            <w:r>
              <w:rPr>
                <w:rFonts w:hint="eastAsia" w:ascii="仿宋" w:hAnsi="仿宋" w:eastAsia="仿宋" w:cs="仿宋"/>
                <w:color w:val="auto"/>
                <w:sz w:val="24"/>
                <w:szCs w:val="24"/>
                <w:highlight w:val="none"/>
                <w:lang w:val="en-GB" w:eastAsia="zh-CN"/>
              </w:rPr>
              <w:t>。</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见响应文件第（      ）页</w:t>
            </w:r>
          </w:p>
        </w:tc>
      </w:tr>
      <w:tr>
        <w:tblPrEx>
          <w:tblCellMar>
            <w:top w:w="0" w:type="dxa"/>
            <w:left w:w="108" w:type="dxa"/>
            <w:bottom w:w="0" w:type="dxa"/>
            <w:right w:w="108" w:type="dxa"/>
          </w:tblCellMar>
        </w:tblPrEx>
        <w:trPr>
          <w:trHeight w:val="943"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价格</w:t>
            </w:r>
          </w:p>
        </w:tc>
        <w:tc>
          <w:tcPr>
            <w:tcW w:w="54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0" w:leftChars="19"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trike w:val="0"/>
                <w:dstrike w:val="0"/>
                <w:color w:val="000000" w:themeColor="text1"/>
                <w:kern w:val="2"/>
                <w:sz w:val="24"/>
                <w:szCs w:val="24"/>
                <w:highlight w:val="none"/>
                <w:lang w:val="en-US" w:eastAsia="zh-CN" w:bidi="ar-SA"/>
                <w14:textFill>
                  <w14:solidFill>
                    <w14:schemeClr w14:val="tx1"/>
                  </w14:solidFill>
                </w14:textFill>
              </w:rPr>
              <w:t>各有效响应供应商的报价中，取下浮最高者作为基准价，各有效响应供应商的价格评分，统一按照下列公式计算：（1-评标基准下浮率）/（1-评标下浮率）*10</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见响应文件第（      ）页</w:t>
            </w:r>
          </w:p>
        </w:tc>
      </w:tr>
    </w:tbl>
    <w:p>
      <w:pPr>
        <w:shd w:val="clear" w:color="auto" w:fill="auto"/>
        <w:kinsoku/>
        <w:wordWrap/>
        <w:overflowPunct/>
        <w:topLinePunct w:val="0"/>
        <w:bidi w:val="0"/>
        <w:adjustRightInd w:val="0"/>
        <w:snapToGrid w:val="0"/>
        <w:spacing w:line="500" w:lineRule="exact"/>
        <w:ind w:firstLine="0" w:firstLineChars="0"/>
        <w:rPr>
          <w:rFonts w:hint="eastAsia" w:ascii="仿宋" w:hAnsi="仿宋" w:eastAsia="仿宋" w:cs="仿宋"/>
          <w:bCs w:val="0"/>
          <w:color w:val="auto"/>
          <w:sz w:val="24"/>
        </w:rPr>
      </w:pPr>
      <w:r>
        <w:rPr>
          <w:rFonts w:hint="eastAsia" w:ascii="仿宋" w:hAnsi="仿宋" w:eastAsia="仿宋" w:cs="仿宋"/>
          <w:bCs w:val="0"/>
          <w:color w:val="auto"/>
          <w:sz w:val="24"/>
        </w:rPr>
        <w:t>注：供应商应根据</w:t>
      </w:r>
      <w:r>
        <w:rPr>
          <w:rFonts w:hint="eastAsia" w:ascii="仿宋" w:hAnsi="仿宋" w:eastAsia="仿宋" w:cs="仿宋"/>
          <w:b w:val="0"/>
          <w:color w:val="auto"/>
          <w:sz w:val="24"/>
        </w:rPr>
        <w:t>《综合评分表》</w:t>
      </w:r>
      <w:r>
        <w:rPr>
          <w:rFonts w:hint="eastAsia" w:ascii="仿宋" w:hAnsi="仿宋" w:eastAsia="仿宋" w:cs="仿宋"/>
          <w:bCs w:val="0"/>
          <w:color w:val="auto"/>
          <w:sz w:val="24"/>
        </w:rPr>
        <w:t>的各项内容按顺序填写此表。</w:t>
      </w:r>
    </w:p>
    <w:p>
      <w:pPr>
        <w:ind w:left="40" w:leftChars="19"/>
        <w:jc w:val="left"/>
        <w:rPr>
          <w:rFonts w:hint="eastAsia" w:ascii="仿宋" w:hAnsi="仿宋" w:eastAsia="仿宋" w:cs="仿宋"/>
          <w:color w:val="auto"/>
          <w:sz w:val="24"/>
          <w:szCs w:val="24"/>
          <w:highlight w:val="none"/>
          <w:lang w:val="en-US" w:eastAsia="zh-CN"/>
        </w:rPr>
      </w:pPr>
    </w:p>
    <w:p>
      <w:pPr>
        <w:ind w:left="40" w:leftChars="19"/>
        <w:jc w:val="left"/>
        <w:rPr>
          <w:rFonts w:hint="eastAsia" w:ascii="仿宋" w:hAnsi="仿宋" w:eastAsia="仿宋" w:cs="仿宋"/>
          <w:color w:val="auto"/>
          <w:sz w:val="24"/>
          <w:szCs w:val="24"/>
          <w:lang w:val="en-US" w:eastAsia="zh-CN"/>
        </w:rPr>
      </w:pPr>
    </w:p>
    <w:p>
      <w:pPr>
        <w:ind w:left="40" w:leftChars="19"/>
        <w:jc w:val="left"/>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val="en-US" w:eastAsia="zh-CN"/>
        </w:rPr>
        <w:t>响应供应商法定代表人（或法定代表人授权代表）签字：</w:t>
      </w:r>
      <w:r>
        <w:rPr>
          <w:rFonts w:hint="eastAsia" w:ascii="仿宋" w:hAnsi="仿宋" w:eastAsia="仿宋" w:cs="仿宋"/>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val="en-US" w:eastAsia="zh-CN"/>
        </w:rPr>
        <w:t>响应供应商名称（盖章）：</w:t>
      </w:r>
      <w:r>
        <w:rPr>
          <w:rFonts w:hint="eastAsia" w:ascii="仿宋" w:hAnsi="仿宋" w:eastAsia="仿宋" w:cs="仿宋"/>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日期：   年   月   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z w:val="24"/>
        </w:rPr>
        <w:br w:type="page"/>
      </w:r>
      <w:bookmarkStart w:id="9" w:name="_Toc202251700"/>
      <w:bookmarkStart w:id="10" w:name="_Toc202254105"/>
      <w:bookmarkStart w:id="11" w:name="_Toc202820351"/>
      <w:bookmarkStart w:id="12" w:name="_Toc202251075"/>
      <w:bookmarkStart w:id="13" w:name="_Toc202816996"/>
      <w:bookmarkStart w:id="14" w:name="_Toc202819878"/>
      <w:bookmarkStart w:id="15" w:name="_Toc202252034"/>
      <w:r>
        <w:rPr>
          <w:rFonts w:hint="eastAsia" w:ascii="仿宋" w:hAnsi="仿宋" w:eastAsia="仿宋" w:cs="仿宋"/>
          <w:b/>
          <w:bCs/>
          <w:color w:val="auto"/>
          <w:kern w:val="2"/>
          <w:sz w:val="28"/>
          <w:szCs w:val="28"/>
          <w:lang w:val="en-US" w:eastAsia="zh-CN" w:bidi="ar-SA"/>
        </w:rPr>
        <w:t>三、资格性文件</w:t>
      </w:r>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格式一：</w:t>
      </w:r>
    </w:p>
    <w:p>
      <w:pPr>
        <w:pStyle w:val="4"/>
        <w:pageBreakBefore w:val="0"/>
        <w:widowControl w:val="0"/>
        <w:kinsoku/>
        <w:wordWrap/>
        <w:overflowPunct/>
        <w:topLinePunct w:val="0"/>
        <w:autoSpaceDE/>
        <w:autoSpaceDN/>
        <w:bidi w:val="0"/>
        <w:adjustRightInd/>
        <w:snapToGrid/>
        <w:spacing w:before="0" w:after="0" w:line="360" w:lineRule="auto"/>
        <w:ind w:firstLine="883" w:firstLineChars="200"/>
        <w:jc w:val="center"/>
        <w:textAlignment w:val="auto"/>
        <w:rPr>
          <w:rFonts w:hint="eastAsia" w:ascii="仿宋" w:hAnsi="仿宋" w:eastAsia="仿宋" w:cs="仿宋"/>
          <w:b/>
          <w:bCs/>
          <w:color w:val="auto"/>
          <w:kern w:val="2"/>
          <w:sz w:val="44"/>
          <w:szCs w:val="44"/>
          <w:lang w:val="en-US" w:eastAsia="zh-CN" w:bidi="ar-SA"/>
        </w:rPr>
      </w:pPr>
      <w:r>
        <w:rPr>
          <w:rFonts w:hint="eastAsia" w:ascii="仿宋" w:hAnsi="仿宋" w:eastAsia="仿宋" w:cs="仿宋"/>
          <w:b/>
          <w:bCs/>
          <w:color w:val="auto"/>
          <w:kern w:val="2"/>
          <w:sz w:val="44"/>
          <w:szCs w:val="44"/>
          <w:lang w:val="en-US" w:eastAsia="zh-CN" w:bidi="ar-SA"/>
        </w:rPr>
        <w:t>响应函</w:t>
      </w:r>
    </w:p>
    <w:p>
      <w:pPr>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kern w:val="2"/>
          <w:sz w:val="24"/>
          <w:szCs w:val="24"/>
          <w:u w:val="single"/>
          <w:lang w:val="en-US" w:eastAsia="zh-CN" w:bidi="ar-SA"/>
        </w:rPr>
      </w:pPr>
      <w:r>
        <w:rPr>
          <w:rFonts w:hint="eastAsia" w:ascii="仿宋" w:hAnsi="仿宋" w:eastAsia="仿宋" w:cs="仿宋"/>
          <w:b w:val="0"/>
          <w:bCs w:val="0"/>
          <w:color w:val="auto"/>
          <w:kern w:val="2"/>
          <w:sz w:val="24"/>
          <w:szCs w:val="24"/>
          <w:u w:val="single"/>
          <w:lang w:val="en-US" w:eastAsia="zh-CN" w:bidi="ar-SA"/>
        </w:rPr>
        <w:t>惠州市职业病防治院：</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依据贵方采购项目名称惠州市</w:t>
      </w:r>
      <w:r>
        <w:rPr>
          <w:rFonts w:hint="eastAsia" w:ascii="仿宋" w:hAnsi="仿宋" w:eastAsia="仿宋" w:cs="仿宋"/>
          <w:color w:val="auto"/>
          <w:sz w:val="24"/>
          <w:szCs w:val="24"/>
          <w:lang w:eastAsia="zh-CN"/>
        </w:rPr>
        <w:t>职业病防治</w:t>
      </w:r>
      <w:r>
        <w:rPr>
          <w:rFonts w:hint="eastAsia" w:ascii="仿宋" w:hAnsi="仿宋" w:eastAsia="仿宋" w:cs="仿宋"/>
          <w:color w:val="auto"/>
          <w:sz w:val="24"/>
          <w:szCs w:val="24"/>
        </w:rPr>
        <w:t>院</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院内比选项目</w:t>
      </w:r>
      <w:r>
        <w:rPr>
          <w:rFonts w:hint="eastAsia" w:ascii="仿宋" w:hAnsi="仿宋" w:eastAsia="仿宋" w:cs="仿宋"/>
          <w:color w:val="auto"/>
          <w:sz w:val="24"/>
          <w:szCs w:val="24"/>
          <w:lang w:val="zh-CN"/>
        </w:rPr>
        <w:t>的（</w:t>
      </w:r>
      <w:r>
        <w:rPr>
          <w:rFonts w:hint="eastAsia" w:ascii="仿宋" w:hAnsi="仿宋" w:eastAsia="仿宋" w:cs="仿宋"/>
          <w:color w:val="auto"/>
          <w:sz w:val="24"/>
          <w:szCs w:val="24"/>
        </w:rPr>
        <w:t>项目编号：</w:t>
      </w:r>
      <w:r>
        <w:rPr>
          <w:rFonts w:hint="eastAsia" w:ascii="仿宋" w:hAnsi="仿宋" w:eastAsia="仿宋" w:cs="仿宋"/>
          <w:i w:val="0"/>
          <w:iCs w:val="0"/>
          <w:color w:val="auto"/>
          <w:sz w:val="24"/>
          <w:szCs w:val="24"/>
          <w:u w:val="single"/>
          <w:lang w:val="en-US" w:eastAsia="zh-CN"/>
        </w:rPr>
        <w:t xml:space="preserve">    </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响应邀请，我方代表（姓名、职务）经正式授权并代表（响应供应商名称、地址）提交下述文件一式   份。</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1.自查表；</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2.资格性文件；</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3.商务部分；</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4.技术部分；</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5.价格部分。</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在此，我方声明如下：</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1.同意并接受比选文件的各项要求，遵守比选文件中的各项规定，按比选文件的要求提供报价。</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2.响应有效期为递交响应文件之日起90天，成交人响应/谈判有效期延至合同验收之日。</w:t>
      </w:r>
    </w:p>
    <w:p>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3.我方已经详细地阅读了全部比选文件及其附件，包括澄清及参考文件(如果有的话)。我方已完全清晰理解比选文件的所有要求，不存在任何含糊不清和误解之处，同意放弃对这些文件所提出的异议和质疑的权利。</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4.我方已毫无保留地向贵方提供一切所需的证明材料。</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5.我方承诺在本次响应/响应文件中提供的一切文件，无论是原件还是复印件均为真实和准确的，绝无任何虚假、伪造和夸大</w:t>
      </w:r>
      <w:r>
        <w:rPr>
          <w:rFonts w:hint="eastAsia" w:ascii="仿宋" w:hAnsi="仿宋" w:eastAsia="仿宋" w:cs="仿宋"/>
          <w:color w:val="auto"/>
          <w:sz w:val="24"/>
          <w:szCs w:val="24"/>
          <w:lang w:eastAsia="zh-CN"/>
        </w:rPr>
        <w:t>的成分</w:t>
      </w:r>
      <w:r>
        <w:rPr>
          <w:rFonts w:hint="eastAsia" w:ascii="仿宋" w:hAnsi="仿宋" w:eastAsia="仿宋" w:cs="仿宋"/>
          <w:color w:val="auto"/>
          <w:sz w:val="24"/>
          <w:szCs w:val="24"/>
        </w:rPr>
        <w:t>，否则，愿承担相应的后果和法律责任。</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6.我方完全服从和尊重评委会所作的评定结果，同时清楚理解到报价最低并非意味着必定获得成交资格。</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响应供应商：</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传真：</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电话：</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电子邮件：</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响应供应商（法定代表人授权代表）代表签字： </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响应供应商名称(公章)：  </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开户银行： </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lang w:eastAsia="zh-CN"/>
        </w:rPr>
        <w:t>账号</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日期： </w:t>
      </w:r>
      <w:r>
        <w:rPr>
          <w:rFonts w:hint="eastAsia" w:ascii="仿宋" w:hAnsi="仿宋" w:eastAsia="仿宋" w:cs="仿宋"/>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z w:val="24"/>
          <w:szCs w:val="24"/>
        </w:rPr>
        <w:br w:type="page"/>
      </w:r>
      <w:r>
        <w:rPr>
          <w:rFonts w:hint="eastAsia" w:ascii="仿宋" w:hAnsi="仿宋" w:eastAsia="仿宋" w:cs="仿宋"/>
          <w:b/>
          <w:bCs/>
          <w:color w:val="auto"/>
          <w:kern w:val="2"/>
          <w:sz w:val="28"/>
          <w:szCs w:val="28"/>
          <w:lang w:val="en-US" w:eastAsia="zh-CN" w:bidi="ar-SA"/>
        </w:rPr>
        <w:t>格式二：法定代表人/负责人资格证明书及授权委托书</w:t>
      </w:r>
    </w:p>
    <w:p>
      <w:pPr>
        <w:spacing w:line="480" w:lineRule="exact"/>
        <w:jc w:val="center"/>
        <w:rPr>
          <w:rFonts w:hint="eastAsia" w:ascii="仿宋" w:hAnsi="仿宋" w:eastAsia="仿宋" w:cs="仿宋"/>
          <w:b/>
          <w:color w:val="auto"/>
          <w:sz w:val="28"/>
          <w:szCs w:val="28"/>
        </w:rPr>
      </w:pPr>
    </w:p>
    <w:p>
      <w:pPr>
        <w:pStyle w:val="4"/>
        <w:pageBreakBefore w:val="0"/>
        <w:widowControl w:val="0"/>
        <w:kinsoku/>
        <w:wordWrap/>
        <w:overflowPunct/>
        <w:topLinePunct w:val="0"/>
        <w:autoSpaceDE/>
        <w:autoSpaceDN/>
        <w:bidi w:val="0"/>
        <w:adjustRightInd/>
        <w:snapToGrid/>
        <w:spacing w:before="0" w:after="0" w:line="360" w:lineRule="auto"/>
        <w:ind w:firstLine="562" w:firstLineChars="200"/>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（1）法定代表人/负责人资格证明书</w:t>
      </w:r>
    </w:p>
    <w:p>
      <w:pPr>
        <w:spacing w:line="480" w:lineRule="exact"/>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lang w:eastAsia="zh-CN"/>
        </w:rPr>
        <w:t>惠州市职业病防治院</w:t>
      </w:r>
      <w:r>
        <w:rPr>
          <w:rFonts w:hint="eastAsia" w:ascii="仿宋" w:hAnsi="仿宋" w:eastAsia="仿宋" w:cs="仿宋"/>
          <w:color w:val="auto"/>
          <w:sz w:val="24"/>
        </w:rPr>
        <w:t>：</w:t>
      </w:r>
    </w:p>
    <w:p>
      <w:pPr>
        <w:spacing w:line="360" w:lineRule="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同志，现任我单位</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职务，为法定代表人，特此证明。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签发日期：           单位：           （盖章）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附：代表人性别：            年龄：           身份证号码：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营业执照号码：                       经济性质：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主营（产）：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兼营（产）：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进口物品经营许可证号码：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主营：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兼营：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说明：1.法定代表人为企业事业单位、国家机关、社会团体的主要行政负责人。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color w:val="auto"/>
          <w:sz w:val="24"/>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sz w:val="24"/>
        </w:rPr>
        <w:t>内容必须填写真实、清楚、涂改无效，不得转让、买卖。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color w:val="auto"/>
          <w:sz w:val="24"/>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sz w:val="24"/>
        </w:rPr>
        <w:t>将此证明书提交对方作为合同附件。</w:t>
      </w:r>
    </w:p>
    <w:p>
      <w:pPr>
        <w:spacing w:line="360" w:lineRule="auto"/>
        <w:rPr>
          <w:rFonts w:hint="eastAsia" w:ascii="仿宋" w:hAnsi="仿宋" w:eastAsia="仿宋" w:cs="仿宋"/>
          <w:color w:val="auto"/>
          <w:sz w:val="24"/>
          <w:szCs w:val="24"/>
        </w:rPr>
      </w:pPr>
    </w:p>
    <w:p>
      <w:pPr>
        <w:rPr>
          <w:rFonts w:hint="eastAsia" w:ascii="仿宋" w:hAnsi="仿宋" w:eastAsia="仿宋" w:cs="仿宋"/>
          <w:b/>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color w:val="auto"/>
          <w:sz w:val="28"/>
          <w:szCs w:val="28"/>
        </w:rPr>
        <w:t xml:space="preserve"> (为避免响应无效，请供应商务必提供本附件)</w:t>
      </w:r>
    </w:p>
    <w:p>
      <w:pPr>
        <w:rPr>
          <w:rFonts w:hint="eastAsia" w:ascii="仿宋" w:hAnsi="仿宋" w:eastAsia="仿宋" w:cs="仿宋"/>
          <w:b/>
          <w:color w:val="auto"/>
          <w:sz w:val="28"/>
          <w:szCs w:val="28"/>
        </w:rPr>
      </w:pPr>
    </w:p>
    <w:p>
      <w:pPr>
        <w:rPr>
          <w:rFonts w:hint="eastAsia" w:ascii="仿宋" w:hAnsi="仿宋" w:eastAsia="仿宋" w:cs="仿宋"/>
          <w:b/>
          <w:color w:val="auto"/>
          <w:sz w:val="28"/>
          <w:szCs w:val="28"/>
        </w:rPr>
      </w:pPr>
      <w:r>
        <w:rPr>
          <w:rFonts w:hint="eastAsia" w:ascii="仿宋" w:hAnsi="仿宋" w:eastAsia="仿宋" w:cs="仿宋"/>
          <w:b/>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3" name="自选图形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wrap="square" upright="1"/>
                    </wps:wsp>
                  </a:graphicData>
                </a:graphic>
              </wp:anchor>
            </w:drawing>
          </mc:Choice>
          <mc:Fallback>
            <w:pict>
              <v:shape id="自选图形 5"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lT&#10;5Q3XAAAACAEAAA8AAAAAAAAAAQAgAAAAIgAAAGRycy9kb3ducmV2LnhtbFBLAQIUABQAAAAIAIdO&#10;4kAMl5T7JAIAAFMEAAAOAAAAAAAAAAEAIAAAACYBAABkcnMvZTJvRG9jLnhtbFBLBQYAAAAABgAG&#10;AFkBAAC8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1"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wrap="square" upright="1"/>
                    </wps:wsp>
                  </a:graphicData>
                </a:graphic>
              </wp:anchor>
            </w:drawing>
          </mc:Choice>
          <mc:Fallback>
            <w:pict>
              <v:shape id="自选图形 3"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kvs&#10;AdYAAAAIAQAADwAAAAAAAAABACAAAAAiAAAAZHJzL2Rvd25yZXYueG1sUEsBAhQAFAAAAAgAh07i&#10;QNU0OF4kAgAAUwQAAA4AAAAAAAAAAQAgAAAAJQEAAGRycy9lMm9Eb2MueG1sUEsFBgAAAAAGAAYA&#10;WQEAALs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rPr>
      </w:pPr>
    </w:p>
    <w:p>
      <w:pPr>
        <w:spacing w:line="480" w:lineRule="exact"/>
        <w:rPr>
          <w:rFonts w:hint="eastAsia" w:ascii="仿宋" w:hAnsi="仿宋" w:eastAsia="仿宋" w:cs="仿宋"/>
          <w:b/>
          <w:color w:val="auto"/>
          <w:sz w:val="28"/>
          <w:szCs w:val="28"/>
        </w:rPr>
      </w:pPr>
    </w:p>
    <w:p>
      <w:pPr>
        <w:spacing w:line="480" w:lineRule="exact"/>
        <w:rPr>
          <w:rFonts w:hint="eastAsia" w:ascii="仿宋" w:hAnsi="仿宋" w:eastAsia="仿宋" w:cs="仿宋"/>
          <w:b/>
          <w:color w:val="auto"/>
          <w:sz w:val="28"/>
          <w:szCs w:val="28"/>
        </w:rPr>
      </w:pPr>
    </w:p>
    <w:p>
      <w:pPr>
        <w:spacing w:line="48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spacing w:line="48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（2）法定代表人/负责人授权委托书</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lang w:eastAsia="zh-CN"/>
        </w:rPr>
        <w:t>惠州市职业病防治院</w:t>
      </w:r>
      <w:r>
        <w:rPr>
          <w:rFonts w:hint="eastAsia" w:ascii="仿宋" w:hAnsi="仿宋" w:eastAsia="仿宋" w:cs="仿宋"/>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兹授权</w:t>
      </w:r>
      <w:r>
        <w:rPr>
          <w:rFonts w:hint="eastAsia" w:ascii="仿宋" w:hAnsi="仿宋" w:eastAsia="仿宋" w:cs="仿宋"/>
          <w:color w:val="auto"/>
          <w:sz w:val="24"/>
          <w:u w:val="single"/>
        </w:rPr>
        <w:t xml:space="preserve">             </w:t>
      </w:r>
      <w:r>
        <w:rPr>
          <w:rFonts w:hint="eastAsia" w:ascii="仿宋" w:hAnsi="仿宋" w:eastAsia="仿宋" w:cs="仿宋"/>
          <w:color w:val="auto"/>
          <w:sz w:val="24"/>
        </w:rPr>
        <w:t>同志，为我方签订经济合同及办理其他事务代理人，其权限是：</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授权单位：</w:t>
      </w:r>
      <w:r>
        <w:rPr>
          <w:rFonts w:hint="eastAsia" w:ascii="仿宋" w:hAnsi="仿宋" w:eastAsia="仿宋" w:cs="仿宋"/>
          <w:color w:val="auto"/>
          <w:sz w:val="24"/>
          <w:u w:val="single"/>
        </w:rPr>
        <w:t xml:space="preserve">          </w:t>
      </w:r>
      <w:r>
        <w:rPr>
          <w:rFonts w:hint="eastAsia" w:ascii="仿宋" w:hAnsi="仿宋" w:eastAsia="仿宋" w:cs="仿宋"/>
          <w:color w:val="auto"/>
          <w:sz w:val="24"/>
        </w:rPr>
        <w:t>（盖章）     法定代表人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（签名或盖私章）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u w:val="single"/>
          <w:lang w:val="en-US" w:eastAsia="zh-CN"/>
        </w:rPr>
      </w:pPr>
      <w:r>
        <w:rPr>
          <w:rFonts w:hint="eastAsia" w:ascii="仿宋" w:hAnsi="仿宋" w:eastAsia="仿宋" w:cs="仿宋"/>
          <w:color w:val="auto"/>
          <w:sz w:val="24"/>
        </w:rPr>
        <w:t>有效期限：至</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     签发日期：</w:t>
      </w:r>
      <w:r>
        <w:rPr>
          <w:rFonts w:hint="eastAsia" w:ascii="仿宋" w:hAnsi="仿宋" w:eastAsia="仿宋" w:cs="仿宋"/>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附：代理人性别：</w:t>
      </w:r>
      <w:r>
        <w:rPr>
          <w:rFonts w:hint="eastAsia" w:ascii="仿宋" w:hAnsi="仿宋" w:eastAsia="仿宋" w:cs="仿宋"/>
          <w:color w:val="auto"/>
          <w:sz w:val="24"/>
          <w:u w:val="single"/>
        </w:rPr>
        <w:t xml:space="preserve">        </w:t>
      </w:r>
      <w:r>
        <w:rPr>
          <w:rFonts w:hint="eastAsia" w:ascii="仿宋" w:hAnsi="仿宋" w:eastAsia="仿宋" w:cs="仿宋"/>
          <w:color w:val="auto"/>
          <w:sz w:val="24"/>
        </w:rPr>
        <w:t>年龄：</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u w:val="single"/>
          <w:lang w:val="en-US" w:eastAsia="zh-CN"/>
        </w:rPr>
      </w:pPr>
      <w:r>
        <w:rPr>
          <w:rFonts w:hint="eastAsia" w:ascii="仿宋" w:hAnsi="仿宋" w:eastAsia="仿宋" w:cs="仿宋"/>
          <w:color w:val="auto"/>
          <w:sz w:val="24"/>
        </w:rPr>
        <w:t>身份证号码：</w:t>
      </w:r>
      <w:r>
        <w:rPr>
          <w:rFonts w:hint="eastAsia" w:ascii="仿宋" w:hAnsi="仿宋" w:eastAsia="仿宋" w:cs="仿宋"/>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u w:val="single"/>
          <w:lang w:val="en-US" w:eastAsia="zh-CN"/>
        </w:rPr>
      </w:pPr>
      <w:r>
        <w:rPr>
          <w:rFonts w:hint="eastAsia" w:ascii="仿宋" w:hAnsi="仿宋" w:eastAsia="仿宋" w:cs="仿宋"/>
          <w:color w:val="auto"/>
          <w:sz w:val="24"/>
        </w:rPr>
        <w:t>联系电话：</w:t>
      </w:r>
      <w:r>
        <w:rPr>
          <w:rFonts w:hint="eastAsia" w:ascii="仿宋" w:hAnsi="仿宋" w:eastAsia="仿宋" w:cs="仿宋"/>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营业执照号码：</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经济性质：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主营（产）：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兼营（产）：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进口物品经营许可证号码：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主营：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兼营：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说明：1.法定代表人为企业事业单位、国家机关、社会团体的主要行政负责人。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2.内容必须填写真实、清楚、涂改无效，不得转让、买卖。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rPr>
      </w:pPr>
      <w:r>
        <w:rPr>
          <w:rFonts w:hint="eastAsia" w:ascii="仿宋" w:hAnsi="仿宋" w:eastAsia="仿宋" w:cs="仿宋"/>
          <w:color w:val="auto"/>
          <w:sz w:val="24"/>
        </w:rPr>
        <w:t>3.将此证明书提交对方作为合同附件</w:t>
      </w:r>
      <w:r>
        <w:rPr>
          <w:rFonts w:hint="eastAsia" w:ascii="仿宋" w:hAnsi="仿宋" w:eastAsia="仿宋" w:cs="仿宋"/>
          <w:b/>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4.授权权限：全权代表本公司参与上述采购项目的响应，负责提供与签署确认一切文书资料，以及向贵方递交的任何补充承诺。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5.有效期限：必须超出响应文件中</w:t>
      </w:r>
      <w:r>
        <w:rPr>
          <w:rFonts w:hint="eastAsia" w:ascii="仿宋" w:hAnsi="仿宋" w:eastAsia="仿宋" w:cs="仿宋"/>
          <w:color w:val="auto"/>
          <w:sz w:val="24"/>
          <w:lang w:eastAsia="zh-CN"/>
        </w:rPr>
        <w:t>选</w:t>
      </w:r>
      <w:r>
        <w:rPr>
          <w:rFonts w:hint="eastAsia" w:ascii="仿宋" w:hAnsi="仿宋" w:eastAsia="仿宋" w:cs="仿宋"/>
          <w:color w:val="auto"/>
          <w:sz w:val="24"/>
        </w:rPr>
        <w:t>注的响应有效期，自本单位盖公章之日起生效。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rPr>
        <w:t>6.响应签字代表为法定代表人，则本表不适用。</w:t>
      </w:r>
    </w:p>
    <w:p>
      <w:pPr>
        <w:spacing w:line="360" w:lineRule="auto"/>
        <w:ind w:firstLine="42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2"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wrap="square" upright="1"/>
                    </wps:wsp>
                  </a:graphicData>
                </a:graphic>
              </wp:anchor>
            </w:drawing>
          </mc:Choice>
          <mc:Fallback>
            <w:pict>
              <v:shape id="自选图形 4"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l/&#10;zInXAAAACQEAAA8AAAAAAAAAAQAgAAAAIgAAAGRycy9kb3ducmV2LnhtbFBLAQIUABQAAAAIAIdO&#10;4kADtt1tJAIAAFMEAAAOAAAAAAAAAAEAIAAAACYBAABkcnMvZTJvRG9jLnhtbFBLBQYAAAAABgAG&#10;AFkBAAC8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5"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wrap="square" upright="1"/>
                    </wps:wsp>
                  </a:graphicData>
                </a:graphic>
              </wp:anchor>
            </w:drawing>
          </mc:Choice>
          <mc:Fallback>
            <w:pict>
              <v:shape id="自选图形 7"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b59&#10;pdcAAAAJAQAADwAAAAAAAAABACAAAAAiAAAAZHJzL2Rvd25yZXYueG1sUEsBAhQAFAAAAAgAh07i&#10;QCq6j2ojAgAAUwQAAA4AAAAAAAAAAQAgAAAAJgEAAGRycy9lMm9Eb2MueG1sUEsFBgAAAAAGAAYA&#10;WQEAALs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4" name="自选图形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wrap="square" upright="1"/>
                    </wps:wsp>
                  </a:graphicData>
                </a:graphic>
              </wp:anchor>
            </w:drawing>
          </mc:Choice>
          <mc:Fallback>
            <w:pict>
              <v:shape id="自选图形 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XDLHtkAAAANAQAADwAAAAAAAAABACAAAAAiAAAAZHJzL2Rvd25yZXYueG1sUEsBAhQAFAAAAAgA&#10;h07iQCWbxvwkAgAAUwQAAA4AAAAAAAAAAQAgAAAAKA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rPr>
      </w:pPr>
    </w:p>
    <w:p>
      <w:pPr>
        <w:spacing w:line="300" w:lineRule="auto"/>
        <w:jc w:val="center"/>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color w:val="auto"/>
          <w:sz w:val="28"/>
          <w:szCs w:val="28"/>
        </w:rPr>
        <w:br w:type="page"/>
      </w:r>
      <w:r>
        <w:rPr>
          <w:rFonts w:hint="eastAsia" w:ascii="仿宋" w:hAnsi="仿宋" w:eastAsia="仿宋" w:cs="仿宋"/>
          <w:b/>
          <w:bCs/>
          <w:color w:val="auto"/>
          <w:kern w:val="2"/>
          <w:sz w:val="28"/>
          <w:szCs w:val="28"/>
          <w:lang w:val="en-US" w:eastAsia="zh-CN" w:bidi="ar-SA"/>
        </w:rPr>
        <w:t>格式三：资格的声明函</w:t>
      </w:r>
    </w:p>
    <w:p>
      <w:pPr>
        <w:spacing w:line="48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资格的声明函</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致：惠州市</w:t>
      </w:r>
      <w:r>
        <w:rPr>
          <w:rFonts w:hint="eastAsia" w:ascii="仿宋" w:hAnsi="仿宋" w:eastAsia="仿宋" w:cs="仿宋"/>
          <w:color w:val="auto"/>
          <w:sz w:val="24"/>
          <w:szCs w:val="24"/>
          <w:lang w:eastAsia="zh-CN"/>
        </w:rPr>
        <w:t>职业病防治</w:t>
      </w:r>
      <w:r>
        <w:rPr>
          <w:rFonts w:hint="eastAsia" w:ascii="仿宋" w:hAnsi="仿宋" w:eastAsia="仿宋" w:cs="仿宋"/>
          <w:color w:val="auto"/>
          <w:sz w:val="24"/>
          <w:szCs w:val="24"/>
        </w:rPr>
        <w:t>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w:t>
      </w:r>
      <w:r>
        <w:rPr>
          <w:rFonts w:hint="eastAsia" w:ascii="仿宋" w:hAnsi="仿宋" w:eastAsia="仿宋" w:cs="仿宋"/>
          <w:color w:val="auto"/>
          <w:sz w:val="24"/>
          <w:szCs w:val="24"/>
          <w:lang w:eastAsia="zh-CN"/>
        </w:rPr>
        <w:t>贵单位</w:t>
      </w: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响应邀请，本签字人愿意参加响应，提供比选文件中规定的货物及服务，并证明提交的下列文件和说明是准确的和真实的。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（相关资质及证明文件附后）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本次比选采购活动中，本单位保证全部响应文件和问题的回答是真实和有效的，并对所提供资料的真实性和正确性承担法律责任。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如有违法、违规、弄虚作假行为，所造成的损失、不良后果及法律责任，一律由我公司（企业）承担。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特此声明！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响应供应商法定代表人（或法定代表人授权代表）签字：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响应供应商名称（签章）：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p>
    <w:p>
      <w:pPr>
        <w:rPr>
          <w:rFonts w:hint="eastAsia" w:ascii="仿宋" w:hAnsi="仿宋" w:eastAsia="仿宋" w:cs="仿宋"/>
          <w:color w:val="auto"/>
          <w:sz w:val="30"/>
          <w:szCs w:val="30"/>
        </w:rPr>
      </w:pPr>
    </w:p>
    <w:p>
      <w:pPr>
        <w:rPr>
          <w:rFonts w:hint="eastAsia" w:ascii="仿宋" w:hAnsi="仿宋" w:eastAsia="仿宋" w:cs="仿宋"/>
          <w:color w:val="auto"/>
          <w:sz w:val="30"/>
          <w:szCs w:val="30"/>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格式四：</w:t>
      </w:r>
    </w:p>
    <w:p>
      <w:pPr>
        <w:pStyle w:val="4"/>
        <w:keepNext/>
        <w:keepLines/>
        <w:pageBreakBefore w:val="0"/>
        <w:widowControl w:val="0"/>
        <w:kinsoku/>
        <w:wordWrap/>
        <w:overflowPunct/>
        <w:topLinePunct w:val="0"/>
        <w:autoSpaceDE/>
        <w:autoSpaceDN/>
        <w:bidi w:val="0"/>
        <w:adjustRightInd/>
        <w:snapToGrid/>
        <w:spacing w:line="377" w:lineRule="auto"/>
        <w:ind w:firstLine="0" w:firstLineChars="0"/>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提供具有独立承担民事责任的能力的证明材料</w:t>
      </w: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格式五：</w:t>
      </w:r>
    </w:p>
    <w:p>
      <w:pPr>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 xml:space="preserve">资格性审查要求的其他资质证明文件  </w:t>
      </w:r>
    </w:p>
    <w:p>
      <w:pPr>
        <w:rPr>
          <w:rFonts w:hint="eastAsia"/>
          <w:color w:val="auto"/>
          <w:lang w:val="en-US" w:eastAsia="zh-CN"/>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格式六：关于中小企业的自我声明格式（可选）</w:t>
      </w:r>
    </w:p>
    <w:p>
      <w:pPr>
        <w:pStyle w:val="82"/>
        <w:spacing w:line="360" w:lineRule="auto"/>
        <w:ind w:firstLine="48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中小企业声明函（所投产品制造商为中小企业时提交本函，所属行业应符合采购文件中明确的本项目所属行业）</w:t>
      </w:r>
    </w:p>
    <w:p>
      <w:pPr>
        <w:pStyle w:val="82"/>
        <w:jc w:val="center"/>
        <w:outlineLvl w:val="3"/>
        <w:rPr>
          <w:rFonts w:hint="eastAsia" w:ascii="仿宋" w:hAnsi="仿宋" w:eastAsia="仿宋" w:cs="仿宋"/>
          <w:b/>
          <w:bCs/>
          <w:color w:val="auto"/>
          <w:kern w:val="2"/>
          <w:sz w:val="24"/>
          <w:szCs w:val="24"/>
          <w:lang w:val="en-US" w:eastAsia="zh-CN" w:bidi="ar-SA"/>
        </w:rPr>
      </w:pPr>
    </w:p>
    <w:p>
      <w:pPr>
        <w:pStyle w:val="82"/>
        <w:jc w:val="center"/>
        <w:outlineLvl w:val="3"/>
        <w:rPr>
          <w:rFonts w:hint="eastAsia" w:ascii="仿宋" w:hAnsi="仿宋" w:eastAsia="仿宋" w:cs="仿宋"/>
          <w:b/>
          <w:bCs/>
          <w:color w:val="auto"/>
          <w:kern w:val="2"/>
          <w:sz w:val="24"/>
          <w:szCs w:val="24"/>
          <w:lang w:val="en-US" w:eastAsia="zh-CN" w:bidi="ar-SA"/>
        </w:rPr>
      </w:pPr>
    </w:p>
    <w:p>
      <w:pPr>
        <w:spacing w:line="48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中小企业声明函（货物）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本公司（联合体）郑重声明，根据《政府采购促进中小企业发展管理办法》（财库﹝2020﹞46 号）的规定，本公司（联合体）参加</w:t>
      </w:r>
      <w:r>
        <w:rPr>
          <w:rFonts w:hint="eastAsia" w:ascii="仿宋" w:hAnsi="仿宋" w:eastAsia="仿宋" w:cs="仿宋"/>
          <w:color w:val="auto"/>
          <w:sz w:val="24"/>
          <w:szCs w:val="24"/>
          <w:u w:val="single"/>
        </w:rPr>
        <w:t>（单位名称）</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行业；制造商为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，从业人员_____人，营业收入为____万元，资产总额为____万元，属于（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行业；制造商为（企业名称），从业人员__________________人，营业收入为__________________万元，资产总额为__________________万元1，属于（中型企业、小型企业、微型企业）；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企业名称（盖章）：__________________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应当对其出具的《中小企业声明函》真实性负责，</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出具的《中小企业声明函》内容不实的，属于提供虚假材料谋取</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。在实际操作中，</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中小企业声明函（承建本项目工程为中小企业或者承接本项目服务为中小企业时提交本函，所属行业应符合采购文件中明确的本项目所属行业）</w:t>
      </w:r>
    </w:p>
    <w:p>
      <w:pPr>
        <w:pStyle w:val="82"/>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color w:val="auto"/>
          <w:kern w:val="2"/>
          <w:sz w:val="24"/>
          <w:szCs w:val="24"/>
          <w:lang w:val="en-US" w:eastAsia="zh-CN" w:bidi="ar-SA"/>
        </w:rPr>
      </w:pPr>
    </w:p>
    <w:p>
      <w:pPr>
        <w:pStyle w:val="82"/>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4"/>
          <w:szCs w:val="24"/>
          <w:lang w:val="en-US" w:eastAsia="zh-CN" w:bidi="ar-SA"/>
        </w:rPr>
      </w:pPr>
    </w:p>
    <w:p>
      <w:pPr>
        <w:spacing w:line="48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中小企业声明函（工程、服务）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本公司（联合体）郑重声明，根据《政府采购促进中小企业发展管理办法》（财库﹝2020﹞46 号）的规定，本公司（联合体）参加（单位名称）的（项目名称）采购活动，工程的施工单位全部为符合政策要求的中小企业（</w:t>
      </w:r>
      <w:r>
        <w:rPr>
          <w:rFonts w:hint="eastAsia" w:ascii="仿宋" w:hAnsi="仿宋" w:eastAsia="仿宋" w:cs="仿宋"/>
          <w:color w:val="auto"/>
          <w:sz w:val="24"/>
          <w:szCs w:val="24"/>
          <w:u w:val="single"/>
        </w:rPr>
        <w:t>或者：服务全部由符合政策要求的中小企业承接</w:t>
      </w:r>
      <w:r>
        <w:rPr>
          <w:rFonts w:hint="eastAsia" w:ascii="仿宋" w:hAnsi="仿宋" w:eastAsia="仿宋" w:cs="仿宋"/>
          <w:color w:val="auto"/>
          <w:sz w:val="24"/>
          <w:szCs w:val="24"/>
        </w:rPr>
        <w:t>）。相关企业（含联合体中的中小企业、签订分包意向协议的中小企业）的具体情况如下：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，从业人员____人，营业收入为____万元，资产总额为_______万元，属于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，从业人员__人，营业收入为___万元，资产总额为</w:t>
      </w:r>
      <w:r>
        <w:rPr>
          <w:rFonts w:hint="eastAsia" w:ascii="仿宋" w:hAnsi="仿宋" w:eastAsia="仿宋" w:cs="仿宋"/>
          <w:color w:val="auto"/>
          <w:sz w:val="24"/>
          <w:szCs w:val="24"/>
          <w:u w:val="none"/>
        </w:rPr>
        <w:t>_</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_万元，属于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企业名称（盖章）：__________________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atLeast"/>
        <w:ind w:firstLine="562" w:firstLineChars="200"/>
        <w:textAlignment w:val="auto"/>
        <w:rPr>
          <w:rFonts w:hint="eastAsia" w:ascii="仿宋" w:hAnsi="仿宋" w:eastAsia="仿宋" w:cs="仿宋"/>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atLeas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格式七：</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color w:val="auto"/>
          <w:sz w:val="24"/>
          <w:szCs w:val="24"/>
        </w:rPr>
      </w:pPr>
    </w:p>
    <w:p>
      <w:pPr>
        <w:pStyle w:val="82"/>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监狱企业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提供由监狱管理局、戒毒管理局（含新疆生产建</w:t>
      </w:r>
      <w:r>
        <w:rPr>
          <w:rFonts w:hint="eastAsia" w:ascii="仿宋" w:hAnsi="仿宋" w:eastAsia="仿宋" w:cs="仿宋"/>
          <w:color w:val="auto"/>
          <w:sz w:val="24"/>
          <w:szCs w:val="24"/>
        </w:rPr>
        <w:t>设兵团）出具的属于监狱企业的证明文件。</w:t>
      </w:r>
    </w:p>
    <w:p>
      <w:pPr>
        <w:pStyle w:val="82"/>
        <w:keepNext w:val="0"/>
        <w:keepLines w:val="0"/>
        <w:pageBreakBefore w:val="0"/>
        <w:kinsoku/>
        <w:wordWrap/>
        <w:overflowPunct/>
        <w:topLinePunct w:val="0"/>
        <w:autoSpaceDE/>
        <w:autoSpaceDN/>
        <w:bidi w:val="0"/>
        <w:adjustRightInd/>
        <w:snapToGrid/>
        <w:spacing w:line="500" w:lineRule="exact"/>
        <w:jc w:val="center"/>
        <w:textAlignment w:val="auto"/>
        <w:outlineLvl w:val="3"/>
        <w:rPr>
          <w:color w:val="auto"/>
        </w:rPr>
      </w:pPr>
    </w:p>
    <w:p>
      <w:pPr>
        <w:pStyle w:val="82"/>
        <w:keepNext w:val="0"/>
        <w:keepLines w:val="0"/>
        <w:pageBreakBefore w:val="0"/>
        <w:kinsoku/>
        <w:wordWrap/>
        <w:overflowPunct/>
        <w:topLinePunct w:val="0"/>
        <w:autoSpaceDE/>
        <w:autoSpaceDN/>
        <w:bidi w:val="0"/>
        <w:adjustRightInd/>
        <w:snapToGrid/>
        <w:spacing w:line="500" w:lineRule="exact"/>
        <w:jc w:val="center"/>
        <w:textAlignment w:val="auto"/>
        <w:outlineLvl w:val="3"/>
        <w:rPr>
          <w:color w:val="auto"/>
        </w:rPr>
      </w:pPr>
    </w:p>
    <w:p>
      <w:pPr>
        <w:keepNext w:val="0"/>
        <w:keepLines w:val="0"/>
        <w:pageBreakBefore w:val="0"/>
        <w:widowControl w:val="0"/>
        <w:kinsoku/>
        <w:wordWrap/>
        <w:overflowPunct/>
        <w:topLinePunct w:val="0"/>
        <w:autoSpaceDE/>
        <w:autoSpaceDN/>
        <w:bidi w:val="0"/>
        <w:adjustRightInd/>
        <w:snapToGrid/>
        <w:spacing w:line="440" w:lineRule="atLeas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格式八：</w:t>
      </w:r>
    </w:p>
    <w:p>
      <w:pPr>
        <w:pStyle w:val="82"/>
        <w:keepNext w:val="0"/>
        <w:keepLines w:val="0"/>
        <w:pageBreakBefore w:val="0"/>
        <w:kinsoku/>
        <w:wordWrap/>
        <w:overflowPunct/>
        <w:topLinePunct w:val="0"/>
        <w:autoSpaceDE/>
        <w:autoSpaceDN/>
        <w:bidi w:val="0"/>
        <w:adjustRightInd/>
        <w:snapToGrid/>
        <w:spacing w:line="500" w:lineRule="exact"/>
        <w:jc w:val="center"/>
        <w:textAlignment w:val="auto"/>
        <w:outlineLvl w:val="3"/>
        <w:rPr>
          <w:color w:val="auto"/>
        </w:rPr>
      </w:pPr>
    </w:p>
    <w:p>
      <w:pPr>
        <w:pStyle w:val="82"/>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4"/>
          <w:szCs w:val="24"/>
          <w:lang w:val="en-US" w:eastAsia="zh-CN" w:bidi="ar-SA"/>
        </w:rPr>
      </w:pPr>
      <w:r>
        <w:rPr>
          <w:color w:val="auto"/>
        </w:rPr>
        <w:t xml:space="preserve">  </w:t>
      </w:r>
    </w:p>
    <w:p>
      <w:pPr>
        <w:pStyle w:val="82"/>
        <w:keepNext w:val="0"/>
        <w:keepLines w:val="0"/>
        <w:pageBreakBefore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单位名称（盖章）：__________________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注：本函未填写或未勾选视作未做声明。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4"/>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color w:val="auto"/>
        </w:rPr>
      </w:pPr>
      <w:r>
        <w:rPr>
          <w:rFonts w:hint="eastAsia" w:ascii="仿宋" w:hAnsi="仿宋" w:eastAsia="仿宋" w:cs="仿宋"/>
          <w:b/>
          <w:bCs/>
          <w:color w:val="auto"/>
          <w:kern w:val="2"/>
          <w:sz w:val="28"/>
          <w:szCs w:val="28"/>
          <w:lang w:val="en-US" w:eastAsia="zh-CN" w:bidi="ar-SA"/>
        </w:rPr>
        <w:t>格式九：承诺函格式</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（对于采购需求写明“提供承诺”的条款，供应商可参照以下格式提供承诺）</w:t>
      </w:r>
    </w:p>
    <w:p>
      <w:pPr>
        <w:pStyle w:val="82"/>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承诺函</w:t>
      </w:r>
    </w:p>
    <w:p>
      <w:pPr>
        <w:pStyle w:val="8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pStyle w:val="82"/>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致：惠州市</w:t>
      </w:r>
      <w:r>
        <w:rPr>
          <w:rFonts w:hint="eastAsia" w:ascii="仿宋" w:hAnsi="仿宋" w:eastAsia="仿宋" w:cs="仿宋"/>
          <w:color w:val="auto"/>
          <w:sz w:val="24"/>
          <w:szCs w:val="24"/>
          <w:lang w:eastAsia="zh-CN"/>
        </w:rPr>
        <w:t>职业病防治院</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对于__________________项目（项目编号：__________________），我方郑重承诺如下：</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如中</w:t>
      </w:r>
      <w:r>
        <w:rPr>
          <w:rFonts w:hint="eastAsia" w:ascii="仿宋" w:hAnsi="仿宋" w:eastAsia="仿宋" w:cs="仿宋"/>
          <w:color w:val="auto"/>
          <w:sz w:val="24"/>
          <w:szCs w:val="24"/>
          <w:lang w:eastAsia="zh-CN"/>
        </w:rPr>
        <w:t>选</w:t>
      </w:r>
      <w:r>
        <w:rPr>
          <w:rFonts w:hint="eastAsia" w:ascii="仿宋" w:hAnsi="仿宋" w:eastAsia="仿宋" w:cs="仿宋"/>
          <w:color w:val="auto"/>
          <w:sz w:val="24"/>
          <w:szCs w:val="24"/>
        </w:rPr>
        <w:t>/成交，我方承诺严格落实采购文件以下条款：(建议逐条复制采购文件相关条款原文)</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（一）星号条款</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（二）三角号条款</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（三）非星号、非三角号条款</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特此承诺。</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供应商名称（盖章）：__________________</w:t>
      </w:r>
    </w:p>
    <w:p>
      <w:pPr>
        <w:pStyle w:val="8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pStyle w:val="4"/>
        <w:keepNext/>
        <w:keepLines/>
        <w:pageBreakBefore w:val="0"/>
        <w:widowControl w:val="0"/>
        <w:kinsoku/>
        <w:wordWrap/>
        <w:overflowPunct/>
        <w:topLinePunct w:val="0"/>
        <w:autoSpaceDE/>
        <w:autoSpaceDN/>
        <w:bidi w:val="0"/>
        <w:adjustRightInd/>
        <w:snapToGrid/>
        <w:spacing w:line="377" w:lineRule="auto"/>
        <w:ind w:firstLine="0" w:firstLine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 xml:space="preserve">格式十一：  </w:t>
      </w:r>
    </w:p>
    <w:p>
      <w:pPr>
        <w:pStyle w:val="71"/>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GB" w:eastAsia="zh-CN" w:bidi="ar-SA"/>
        </w:rPr>
        <w:t>其它必须重要事项说明及承诺(单页)</w:t>
      </w:r>
    </w:p>
    <w:p>
      <w:pPr>
        <w:pStyle w:val="71"/>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lang w:val="en-GB"/>
        </w:rPr>
      </w:pPr>
      <w:r>
        <w:rPr>
          <w:rFonts w:hint="eastAsia" w:ascii="仿宋" w:hAnsi="仿宋" w:eastAsia="仿宋" w:cs="仿宋"/>
          <w:bCs/>
          <w:color w:val="auto"/>
          <w:spacing w:val="0"/>
          <w:kern w:val="2"/>
          <w:szCs w:val="24"/>
          <w:lang w:val="en-GB"/>
        </w:rPr>
        <w:t>1</w:t>
      </w:r>
      <w:r>
        <w:rPr>
          <w:rFonts w:hint="eastAsia" w:ascii="仿宋" w:hAnsi="仿宋" w:eastAsia="仿宋" w:cs="仿宋"/>
          <w:bCs/>
          <w:color w:val="auto"/>
          <w:spacing w:val="0"/>
          <w:kern w:val="2"/>
          <w:szCs w:val="24"/>
          <w:lang w:val="en-US" w:eastAsia="zh-CN"/>
        </w:rPr>
        <w:t>.</w:t>
      </w:r>
      <w:r>
        <w:rPr>
          <w:rFonts w:hint="eastAsia" w:ascii="仿宋" w:hAnsi="仿宋" w:eastAsia="仿宋" w:cs="仿宋"/>
          <w:bCs/>
          <w:color w:val="auto"/>
          <w:spacing w:val="0"/>
          <w:kern w:val="2"/>
          <w:szCs w:val="24"/>
          <w:lang w:val="en-GB"/>
        </w:rPr>
        <w:t>参加本项目前三年内，在经营活动中没有违法记录承诺函。</w:t>
      </w:r>
    </w:p>
    <w:p>
      <w:pPr>
        <w:adjustRightInd w:val="0"/>
        <w:snapToGrid w:val="0"/>
        <w:spacing w:line="360" w:lineRule="auto"/>
        <w:jc w:val="center"/>
        <w:rPr>
          <w:rFonts w:hint="eastAsia" w:ascii="仿宋" w:hAnsi="仿宋" w:eastAsia="仿宋" w:cs="仿宋"/>
          <w:b/>
          <w:color w:val="auto"/>
          <w:sz w:val="28"/>
          <w:szCs w:val="28"/>
        </w:rPr>
      </w:pPr>
    </w:p>
    <w:p>
      <w:pPr>
        <w:adjustRightInd w:val="0"/>
        <w:snapToGrid w:val="0"/>
        <w:spacing w:line="4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近三年参加采购活动中无重大违法违规声明函</w:t>
      </w:r>
    </w:p>
    <w:p>
      <w:pPr>
        <w:adjustRightInd w:val="0"/>
        <w:snapToGrid w:val="0"/>
        <w:spacing w:line="400" w:lineRule="exact"/>
        <w:jc w:val="center"/>
        <w:rPr>
          <w:rFonts w:hint="eastAsia" w:ascii="仿宋" w:hAnsi="仿宋" w:eastAsia="仿宋" w:cs="仿宋"/>
          <w:b/>
          <w:color w:val="auto"/>
          <w:sz w:val="28"/>
          <w:szCs w:val="28"/>
        </w:rPr>
      </w:pPr>
    </w:p>
    <w:p>
      <w:pPr>
        <w:spacing w:line="360" w:lineRule="auto"/>
        <w:ind w:left="-540" w:leftChars="-257" w:firstLine="480" w:firstLineChars="200"/>
        <w:rPr>
          <w:rFonts w:hint="eastAsia" w:ascii="仿宋" w:hAnsi="仿宋" w:eastAsia="仿宋" w:cs="仿宋"/>
          <w:bCs/>
          <w:color w:val="auto"/>
          <w:spacing w:val="0"/>
          <w:kern w:val="2"/>
          <w:sz w:val="24"/>
          <w:szCs w:val="24"/>
          <w:lang w:val="en-GB" w:eastAsia="zh-CN" w:bidi="ar-SA"/>
        </w:rPr>
      </w:pPr>
      <w:r>
        <w:rPr>
          <w:rFonts w:hint="eastAsia" w:ascii="仿宋" w:hAnsi="仿宋" w:eastAsia="仿宋" w:cs="仿宋"/>
          <w:bCs/>
          <w:color w:val="auto"/>
          <w:spacing w:val="0"/>
          <w:kern w:val="2"/>
          <w:sz w:val="24"/>
          <w:szCs w:val="24"/>
          <w:lang w:val="en-GB" w:eastAsia="zh-CN" w:bidi="ar-SA"/>
        </w:rPr>
        <w:t>致：惠州市职业病防治院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本人以</w:t>
      </w:r>
      <w:r>
        <w:rPr>
          <w:rFonts w:hint="eastAsia" w:ascii="仿宋" w:hAnsi="仿宋" w:eastAsia="仿宋" w:cs="仿宋"/>
          <w:color w:val="auto"/>
          <w:sz w:val="24"/>
          <w:u w:val="single"/>
        </w:rPr>
        <w:t xml:space="preserve">       公司名称  </w:t>
      </w:r>
      <w:r>
        <w:rPr>
          <w:rFonts w:hint="eastAsia" w:ascii="仿宋" w:hAnsi="仿宋" w:eastAsia="仿宋" w:cs="仿宋"/>
          <w:color w:val="auto"/>
          <w:sz w:val="24"/>
        </w:rPr>
        <w:t>法定代表人的资格，郑重声明：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特此声明！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响应供应商名称（签章）：</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8"/>
          <w:szCs w:val="28"/>
          <w:lang w:val="en-US" w:eastAsia="zh-CN" w:bidi="ar-SA"/>
        </w:rPr>
        <w:t xml:space="preserve">格式十一： </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b/>
          <w:bCs/>
          <w:color w:val="auto"/>
          <w:sz w:val="24"/>
          <w:szCs w:val="24"/>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所响应项目同类业绩介绍</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93"/>
        <w:gridCol w:w="1975"/>
        <w:gridCol w:w="1450"/>
        <w:gridCol w:w="1066"/>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0"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69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客户名称</w:t>
            </w:r>
          </w:p>
        </w:tc>
        <w:tc>
          <w:tcPr>
            <w:tcW w:w="1975"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项目名称及合同金额（万元）</w:t>
            </w:r>
          </w:p>
        </w:tc>
        <w:tc>
          <w:tcPr>
            <w:tcW w:w="1450"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所投设备的成交价格</w:t>
            </w:r>
          </w:p>
        </w:tc>
        <w:tc>
          <w:tcPr>
            <w:tcW w:w="1066"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竣工时间</w:t>
            </w:r>
          </w:p>
        </w:tc>
        <w:tc>
          <w:tcPr>
            <w:tcW w:w="139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5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50" w:type="dxa"/>
            <w:noWrap w:val="0"/>
            <w:vAlign w:val="center"/>
          </w:tcPr>
          <w:p>
            <w:pPr>
              <w:pStyle w:val="72"/>
              <w:keepNext w:val="0"/>
              <w:keepLines w:val="0"/>
              <w:suppressLineNumbers w:val="0"/>
              <w:spacing w:before="0" w:beforeAutospacing="0" w:after="0" w:afterAutospacing="0"/>
              <w:rPr>
                <w:rFonts w:hint="eastAsia" w:ascii="仿宋" w:hAnsi="仿宋" w:eastAsia="仿宋" w:cs="仿宋"/>
                <w:color w:val="auto"/>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5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69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9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5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06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9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bl>
    <w:p>
      <w:pPr>
        <w:pStyle w:val="71"/>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lang w:val="en-GB"/>
        </w:rPr>
      </w:pPr>
      <w:r>
        <w:rPr>
          <w:rFonts w:hint="eastAsia" w:ascii="仿宋" w:hAnsi="仿宋" w:eastAsia="仿宋" w:cs="仿宋"/>
          <w:bCs/>
          <w:color w:val="auto"/>
          <w:spacing w:val="0"/>
          <w:kern w:val="2"/>
          <w:szCs w:val="24"/>
          <w:lang w:val="en-GB"/>
        </w:rPr>
        <w:t>注：业绩是必须以响应供应商名义完成并已验收的项目。响应供应商必须提供合同复印件或成交通知书（请留意评审细则是否要求提供验收报告）。</w:t>
      </w:r>
    </w:p>
    <w:p>
      <w:pPr>
        <w:pStyle w:val="71"/>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lang w:val="en-GB"/>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p>
    <w:p>
      <w:pPr>
        <w:pStyle w:val="71"/>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lang w:val="en-GB"/>
        </w:rPr>
      </w:pPr>
      <w:r>
        <w:rPr>
          <w:rFonts w:hint="eastAsia" w:ascii="仿宋" w:hAnsi="仿宋" w:eastAsia="仿宋" w:cs="仿宋"/>
          <w:bCs/>
          <w:color w:val="auto"/>
          <w:spacing w:val="0"/>
          <w:kern w:val="2"/>
          <w:szCs w:val="24"/>
          <w:lang w:val="en-GB"/>
        </w:rPr>
        <w:t>响应供应商名称（签章）</w:t>
      </w:r>
      <w:r>
        <w:rPr>
          <w:rFonts w:hint="eastAsia" w:ascii="仿宋" w:hAnsi="仿宋" w:eastAsia="仿宋" w:cs="仿宋"/>
          <w:bCs/>
          <w:color w:val="auto"/>
          <w:spacing w:val="0"/>
          <w:kern w:val="2"/>
          <w:szCs w:val="24"/>
          <w:u w:val="single"/>
          <w:lang w:val="en-GB"/>
        </w:rPr>
        <w:t xml:space="preserve">：                       </w:t>
      </w:r>
      <w:r>
        <w:rPr>
          <w:rFonts w:hint="eastAsia" w:ascii="仿宋" w:hAnsi="仿宋" w:eastAsia="仿宋" w:cs="仿宋"/>
          <w:bCs/>
          <w:color w:val="auto"/>
          <w:spacing w:val="0"/>
          <w:kern w:val="2"/>
          <w:szCs w:val="24"/>
          <w:lang w:val="en-GB"/>
        </w:rPr>
        <w:t xml:space="preserve"> </w:t>
      </w:r>
    </w:p>
    <w:p>
      <w:pPr>
        <w:pStyle w:val="71"/>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Cs/>
          <w:color w:val="auto"/>
          <w:spacing w:val="0"/>
          <w:kern w:val="2"/>
          <w:szCs w:val="24"/>
          <w:lang w:val="en-GB"/>
        </w:rPr>
      </w:pPr>
      <w:r>
        <w:rPr>
          <w:rFonts w:hint="eastAsia" w:ascii="仿宋" w:hAnsi="仿宋" w:eastAsia="仿宋" w:cs="仿宋"/>
          <w:bCs/>
          <w:color w:val="auto"/>
          <w:spacing w:val="0"/>
          <w:kern w:val="2"/>
          <w:szCs w:val="24"/>
          <w:lang w:val="en-GB"/>
        </w:rPr>
        <w:t>日期</w:t>
      </w:r>
      <w:r>
        <w:rPr>
          <w:rFonts w:hint="eastAsia" w:ascii="仿宋" w:hAnsi="仿宋" w:eastAsia="仿宋" w:cs="仿宋"/>
          <w:bCs/>
          <w:color w:val="auto"/>
          <w:spacing w:val="0"/>
          <w:kern w:val="2"/>
          <w:szCs w:val="24"/>
          <w:u w:val="single"/>
          <w:lang w:val="en-GB"/>
        </w:rPr>
        <w:t xml:space="preserve">：          </w:t>
      </w:r>
      <w:r>
        <w:rPr>
          <w:rFonts w:hint="eastAsia" w:ascii="仿宋" w:hAnsi="仿宋" w:eastAsia="仿宋" w:cs="仿宋"/>
          <w:bCs/>
          <w:color w:val="auto"/>
          <w:spacing w:val="0"/>
          <w:kern w:val="2"/>
          <w:szCs w:val="24"/>
          <w:lang w:val="en-GB"/>
        </w:rPr>
        <w:t>年</w:t>
      </w:r>
      <w:r>
        <w:rPr>
          <w:rFonts w:hint="eastAsia" w:ascii="仿宋" w:hAnsi="仿宋" w:eastAsia="仿宋" w:cs="仿宋"/>
          <w:bCs/>
          <w:color w:val="auto"/>
          <w:spacing w:val="0"/>
          <w:kern w:val="2"/>
          <w:szCs w:val="24"/>
          <w:u w:val="single"/>
          <w:lang w:val="en-GB"/>
        </w:rPr>
        <w:t xml:space="preserve">      </w:t>
      </w:r>
      <w:r>
        <w:rPr>
          <w:rFonts w:hint="eastAsia" w:ascii="仿宋" w:hAnsi="仿宋" w:eastAsia="仿宋" w:cs="仿宋"/>
          <w:bCs/>
          <w:color w:val="auto"/>
          <w:spacing w:val="0"/>
          <w:kern w:val="2"/>
          <w:szCs w:val="24"/>
          <w:lang w:val="en-GB"/>
        </w:rPr>
        <w:t>月</w:t>
      </w:r>
      <w:r>
        <w:rPr>
          <w:rFonts w:hint="eastAsia" w:ascii="仿宋" w:hAnsi="仿宋" w:eastAsia="仿宋" w:cs="仿宋"/>
          <w:bCs/>
          <w:color w:val="auto"/>
          <w:spacing w:val="0"/>
          <w:kern w:val="2"/>
          <w:szCs w:val="24"/>
          <w:u w:val="single"/>
          <w:lang w:val="en-GB"/>
        </w:rPr>
        <w:t xml:space="preserve">     </w:t>
      </w:r>
      <w:r>
        <w:rPr>
          <w:rFonts w:hint="eastAsia" w:ascii="仿宋" w:hAnsi="仿宋" w:eastAsia="仿宋" w:cs="仿宋"/>
          <w:bCs/>
          <w:color w:val="auto"/>
          <w:spacing w:val="0"/>
          <w:kern w:val="2"/>
          <w:szCs w:val="24"/>
          <w:lang w:val="en-GB"/>
        </w:rPr>
        <w:t>日</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8"/>
          <w:szCs w:val="28"/>
          <w:lang w:val="en-US" w:eastAsia="zh-CN" w:bidi="ar-SA"/>
        </w:rPr>
        <w:t xml:space="preserve">格式十一： </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商务条款响应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1 .实质性响应商务条款</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实质性（“</w:t>
            </w:r>
            <w:r>
              <w:rPr>
                <w:rFonts w:hint="eastAsia" w:ascii="仿宋" w:hAnsi="仿宋" w:eastAsia="仿宋" w:cs="仿宋"/>
                <w:b/>
                <w:color w:val="auto"/>
                <w:sz w:val="24"/>
                <w:szCs w:val="24"/>
              </w:rPr>
              <w:t>★</w:t>
            </w:r>
            <w:r>
              <w:rPr>
                <w:rFonts w:hint="eastAsia" w:ascii="仿宋" w:hAnsi="仿宋" w:eastAsia="仿宋" w:cs="仿宋"/>
                <w:color w:val="auto"/>
                <w:sz w:val="24"/>
                <w:szCs w:val="24"/>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077"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3651"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要求</w:t>
            </w:r>
          </w:p>
        </w:tc>
        <w:tc>
          <w:tcPr>
            <w:tcW w:w="736"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是否响应</w:t>
            </w:r>
          </w:p>
        </w:tc>
        <w:tc>
          <w:tcPr>
            <w:tcW w:w="1430"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偏离情况（正/负/无）</w:t>
            </w:r>
          </w:p>
        </w:tc>
        <w:tc>
          <w:tcPr>
            <w:tcW w:w="1030" w:type="dxa"/>
            <w:shd w:val="clear" w:color="auto" w:fill="F1F1F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365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7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365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lang w:val="en-US" w:eastAsia="zh-CN"/>
              </w:rPr>
            </w:pPr>
          </w:p>
        </w:tc>
        <w:tc>
          <w:tcPr>
            <w:tcW w:w="73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4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c>
          <w:tcPr>
            <w:tcW w:w="103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rPr>
        <w:t>注：1.</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必须对上述一般上述实质性商务条款逐条响应，</w:t>
      </w:r>
      <w:r>
        <w:rPr>
          <w:rFonts w:hint="eastAsia" w:ascii="仿宋" w:hAnsi="仿宋" w:eastAsia="仿宋" w:cs="仿宋"/>
          <w:b/>
          <w:bCs/>
          <w:color w:val="auto"/>
          <w:sz w:val="24"/>
          <w:szCs w:val="24"/>
        </w:rPr>
        <w:t>如有缺漏，缺漏项视同不符合比选要求。</w:t>
      </w:r>
      <w:r>
        <w:rPr>
          <w:rFonts w:hint="eastAsia" w:ascii="仿宋" w:hAnsi="仿宋" w:eastAsia="仿宋" w:cs="仿宋"/>
          <w:color w:val="auto"/>
          <w:sz w:val="24"/>
          <w:szCs w:val="24"/>
          <w:lang w:eastAsia="zh-CN"/>
        </w:rPr>
        <w:t>选</w:t>
      </w:r>
      <w:r>
        <w:rPr>
          <w:rFonts w:hint="eastAsia" w:ascii="仿宋" w:hAnsi="仿宋" w:eastAsia="仿宋" w:cs="仿宋"/>
          <w:color w:val="auto"/>
          <w:sz w:val="24"/>
          <w:szCs w:val="24"/>
        </w:rPr>
        <w:t>“</w:t>
      </w:r>
      <w:r>
        <w:rPr>
          <w:rFonts w:hint="eastAsia" w:ascii="仿宋" w:hAnsi="仿宋" w:eastAsia="仿宋" w:cs="仿宋"/>
          <w:b/>
          <w:color w:val="auto"/>
          <w:sz w:val="24"/>
          <w:szCs w:val="24"/>
        </w:rPr>
        <w:t>★</w:t>
      </w:r>
      <w:r>
        <w:rPr>
          <w:rFonts w:hint="eastAsia" w:ascii="仿宋" w:hAnsi="仿宋" w:eastAsia="仿宋" w:cs="仿宋"/>
          <w:color w:val="auto"/>
          <w:sz w:val="24"/>
          <w:szCs w:val="24"/>
        </w:rPr>
        <w:t>”项为不可负偏离（劣于），任何一项负偏离该响应无效。</w:t>
      </w:r>
      <w:r>
        <w:rPr>
          <w:rFonts w:hint="eastAsia" w:ascii="仿宋" w:hAnsi="仿宋" w:eastAsia="仿宋" w:cs="仿宋"/>
          <w:color w:val="auto"/>
          <w:sz w:val="24"/>
          <w:szCs w:val="24"/>
          <w:lang w:val="en-GB"/>
        </w:rPr>
        <w:t>响应供应商请在“是否响应”栏内填“是”或“否”（不得空白，空白视为“否”），并对照偏离情况请在“偏离说明”栏内扼要说明偏离情况，不响应视为负偏离。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2.本表内容不得擅自修改。</w:t>
      </w:r>
    </w:p>
    <w:p>
      <w:pPr>
        <w:adjustRightInd w:val="0"/>
        <w:snapToGrid w:val="0"/>
        <w:spacing w:line="300" w:lineRule="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响应供应商名称（签章）：</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2. 一般</w:t>
      </w:r>
      <w:r>
        <w:rPr>
          <w:rFonts w:hint="eastAsia" w:ascii="仿宋" w:hAnsi="仿宋" w:eastAsia="仿宋" w:cs="仿宋"/>
          <w:b/>
          <w:bCs/>
          <w:color w:val="auto"/>
          <w:spacing w:val="0"/>
          <w:kern w:val="2"/>
          <w:sz w:val="24"/>
          <w:szCs w:val="24"/>
          <w:lang w:val="en-US" w:eastAsia="zh-CN" w:bidi="ar-SA"/>
        </w:rPr>
        <w:fldChar w:fldCharType="begin"/>
      </w:r>
      <w:r>
        <w:rPr>
          <w:rFonts w:hint="eastAsia" w:ascii="仿宋" w:hAnsi="仿宋" w:eastAsia="仿宋" w:cs="仿宋"/>
          <w:b/>
          <w:bCs/>
          <w:color w:val="auto"/>
          <w:spacing w:val="0"/>
          <w:kern w:val="2"/>
          <w:sz w:val="24"/>
          <w:szCs w:val="24"/>
          <w:lang w:val="en-US" w:eastAsia="zh-CN" w:bidi="ar-SA"/>
        </w:rPr>
        <w:instrText xml:space="preserve"> DOCVARIABLE  商务条款响应表开始  \* MERGEFORMAT </w:instrText>
      </w:r>
      <w:r>
        <w:rPr>
          <w:rFonts w:hint="eastAsia" w:ascii="仿宋" w:hAnsi="仿宋" w:eastAsia="仿宋" w:cs="仿宋"/>
          <w:b/>
          <w:bCs/>
          <w:color w:val="auto"/>
          <w:spacing w:val="0"/>
          <w:kern w:val="2"/>
          <w:sz w:val="24"/>
          <w:szCs w:val="24"/>
          <w:lang w:val="en-US" w:eastAsia="zh-CN" w:bidi="ar-SA"/>
        </w:rPr>
        <w:fldChar w:fldCharType="end"/>
      </w:r>
      <w:r>
        <w:rPr>
          <w:rFonts w:hint="eastAsia" w:ascii="仿宋" w:hAnsi="仿宋" w:eastAsia="仿宋" w:cs="仿宋"/>
          <w:b/>
          <w:bCs/>
          <w:color w:val="auto"/>
          <w:spacing w:val="0"/>
          <w:kern w:val="2"/>
          <w:sz w:val="24"/>
          <w:szCs w:val="24"/>
          <w:lang w:val="en-US" w:eastAsia="zh-CN" w:bidi="ar-SA"/>
        </w:rPr>
        <w:fldChar w:fldCharType="begin"/>
      </w:r>
      <w:r>
        <w:rPr>
          <w:rFonts w:hint="eastAsia" w:ascii="仿宋" w:hAnsi="仿宋" w:eastAsia="仿宋" w:cs="仿宋"/>
          <w:b/>
          <w:bCs/>
          <w:color w:val="auto"/>
          <w:spacing w:val="0"/>
          <w:kern w:val="2"/>
          <w:sz w:val="24"/>
          <w:szCs w:val="24"/>
          <w:lang w:val="en-US" w:eastAsia="zh-CN" w:bidi="ar-SA"/>
        </w:rPr>
        <w:instrText xml:space="preserve"> DOCVARIABLE  商务条款响应表开始  \* MERGEFORMAT </w:instrText>
      </w:r>
      <w:r>
        <w:rPr>
          <w:rFonts w:hint="eastAsia" w:ascii="仿宋" w:hAnsi="仿宋" w:eastAsia="仿宋" w:cs="仿宋"/>
          <w:b/>
          <w:bCs/>
          <w:color w:val="auto"/>
          <w:spacing w:val="0"/>
          <w:kern w:val="2"/>
          <w:sz w:val="24"/>
          <w:szCs w:val="24"/>
          <w:lang w:val="en-US" w:eastAsia="zh-CN" w:bidi="ar-SA"/>
        </w:rPr>
        <w:fldChar w:fldCharType="end"/>
      </w:r>
      <w:r>
        <w:rPr>
          <w:rFonts w:hint="eastAsia" w:ascii="仿宋" w:hAnsi="仿宋" w:eastAsia="仿宋" w:cs="仿宋"/>
          <w:b/>
          <w:bCs/>
          <w:color w:val="auto"/>
          <w:spacing w:val="0"/>
          <w:kern w:val="2"/>
          <w:sz w:val="24"/>
          <w:szCs w:val="24"/>
          <w:lang w:val="en-US" w:eastAsia="zh-CN" w:bidi="ar-SA"/>
        </w:rPr>
        <w:t>商务要求条款响应表</w:t>
      </w:r>
    </w:p>
    <w:tbl>
      <w:tblPr>
        <w:tblStyle w:val="31"/>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6682"/>
        <w:gridCol w:w="460"/>
        <w:gridCol w:w="911"/>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15"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6682"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一般商务条款要求</w:t>
            </w:r>
          </w:p>
        </w:tc>
        <w:tc>
          <w:tcPr>
            <w:tcW w:w="460"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是否响应</w:t>
            </w:r>
          </w:p>
        </w:tc>
        <w:tc>
          <w:tcPr>
            <w:tcW w:w="911"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偏离情况（正/负/无）</w:t>
            </w:r>
          </w:p>
        </w:tc>
        <w:tc>
          <w:tcPr>
            <w:tcW w:w="1510" w:type="dxa"/>
            <w:shd w:val="clear" w:color="auto" w:fill="F3F3F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lang w:eastAsia="zh-CN"/>
              </w:rPr>
            </w:pPr>
          </w:p>
        </w:tc>
        <w:tc>
          <w:tcPr>
            <w:tcW w:w="460" w:type="dxa"/>
            <w:noWrap w:val="0"/>
            <w:vAlign w:val="center"/>
          </w:tcPr>
          <w:p>
            <w:pPr>
              <w:pStyle w:val="6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snapToGrid/>
                <w:color w:val="auto"/>
                <w:spacing w:val="0"/>
                <w:kern w:val="2"/>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lang w:eastAsia="zh-CN"/>
              </w:rPr>
            </w:pPr>
          </w:p>
        </w:tc>
        <w:tc>
          <w:tcPr>
            <w:tcW w:w="460" w:type="dxa"/>
            <w:noWrap w:val="0"/>
            <w:vAlign w:val="center"/>
          </w:tcPr>
          <w:p>
            <w:pPr>
              <w:pStyle w:val="6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snapToGrid/>
                <w:color w:val="auto"/>
                <w:spacing w:val="0"/>
                <w:kern w:val="2"/>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lang w:eastAsia="zh-CN"/>
              </w:rPr>
            </w:pPr>
          </w:p>
        </w:tc>
        <w:tc>
          <w:tcPr>
            <w:tcW w:w="4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p>
        </w:tc>
        <w:tc>
          <w:tcPr>
            <w:tcW w:w="6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仿宋" w:hAnsi="仿宋" w:eastAsia="仿宋" w:cs="仿宋"/>
                <w:color w:val="auto"/>
                <w:sz w:val="21"/>
                <w:szCs w:val="21"/>
                <w:lang w:eastAsia="zh-CN"/>
              </w:rPr>
            </w:pPr>
          </w:p>
        </w:tc>
        <w:tc>
          <w:tcPr>
            <w:tcW w:w="4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c>
          <w:tcPr>
            <w:tcW w:w="1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 w:val="21"/>
                <w:szCs w:val="21"/>
              </w:rPr>
            </w:pP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注： 1.响应供应商</w:t>
      </w:r>
      <w:r>
        <w:rPr>
          <w:rFonts w:hint="eastAsia" w:ascii="仿宋" w:hAnsi="仿宋" w:eastAsia="仿宋" w:cs="仿宋"/>
          <w:color w:val="auto"/>
          <w:sz w:val="24"/>
          <w:szCs w:val="24"/>
        </w:rPr>
        <w:t>必须对上述一般商务条款逐条响应。</w:t>
      </w:r>
      <w:r>
        <w:rPr>
          <w:rFonts w:hint="eastAsia" w:ascii="仿宋" w:hAnsi="仿宋" w:eastAsia="仿宋" w:cs="仿宋"/>
          <w:b/>
          <w:bCs/>
          <w:color w:val="auto"/>
          <w:sz w:val="24"/>
          <w:szCs w:val="24"/>
        </w:rPr>
        <w:t>如有缺漏项视同不符合对应条款之要求。</w:t>
      </w:r>
      <w:r>
        <w:rPr>
          <w:rFonts w:hint="eastAsia" w:ascii="仿宋" w:hAnsi="仿宋" w:eastAsia="仿宋" w:cs="仿宋"/>
          <w:color w:val="auto"/>
          <w:sz w:val="24"/>
          <w:szCs w:val="24"/>
          <w:lang w:val="en-GB"/>
        </w:rPr>
        <w:t>请在“是否响应”填“是”或“否”（不得空白，空白视为“否”），并对照偏离情况请在“偏离说明”栏内扼要说明偏离情况，不响应视为负偏离。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 xml:space="preserve"> 2.本表内容不得擅自修改。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lang w:val="en-GB"/>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响应供应商名称（签章）：</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rPr>
      </w:pPr>
      <w:bookmarkStart w:id="16" w:name="_Toc202816998"/>
      <w:bookmarkStart w:id="17" w:name="_Toc202254107"/>
      <w:bookmarkStart w:id="18" w:name="_Toc202820353"/>
      <w:bookmarkStart w:id="19" w:name="_Toc202251077"/>
      <w:bookmarkStart w:id="20" w:name="_Toc202819880"/>
      <w:bookmarkStart w:id="21" w:name="_Toc202251702"/>
      <w:bookmarkStart w:id="22" w:name="_Toc202252036"/>
      <w:r>
        <w:rPr>
          <w:rFonts w:hint="eastAsia" w:ascii="仿宋" w:hAnsi="仿宋" w:eastAsia="仿宋" w:cs="仿宋"/>
          <w:b/>
          <w:bCs/>
          <w:color w:val="auto"/>
          <w:kern w:val="2"/>
          <w:sz w:val="28"/>
          <w:szCs w:val="28"/>
          <w:lang w:val="en-US" w:eastAsia="zh-CN" w:bidi="ar-SA"/>
        </w:rPr>
        <w:t xml:space="preserve">格式十二：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技术部分</w:t>
      </w:r>
      <w:bookmarkEnd w:id="16"/>
      <w:bookmarkEnd w:id="17"/>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1.技术参数响应表（单页填写）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1 .1实质性技术（“★”项）条款响应表</w:t>
      </w:r>
    </w:p>
    <w:tbl>
      <w:tblPr>
        <w:tblStyle w:val="31"/>
        <w:tblpPr w:leftFromText="180" w:rightFromText="180" w:vertAnchor="text" w:horzAnchor="page" w:tblpX="461"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31"/>
        <w:gridCol w:w="2176"/>
        <w:gridCol w:w="1926"/>
        <w:gridCol w:w="775"/>
        <w:gridCol w:w="1138"/>
        <w:gridCol w:w="100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53" w:type="dxa"/>
            <w:gridSpan w:val="8"/>
            <w:noWrap w:val="0"/>
            <w:vAlign w:val="top"/>
          </w:tcPr>
          <w:p>
            <w:pPr>
              <w:keepNext w:val="0"/>
              <w:keepLines w:val="0"/>
              <w:suppressLineNumbers w:val="0"/>
              <w:spacing w:before="0" w:beforeAutospacing="0" w:after="0" w:afterAutospacing="0" w:line="240" w:lineRule="atLeast"/>
              <w:ind w:left="0" w:right="0" w:firstLine="3120" w:firstLineChars="1300"/>
              <w:rPr>
                <w:rFonts w:hint="eastAsia" w:ascii="仿宋" w:hAnsi="仿宋" w:eastAsia="仿宋" w:cs="仿宋"/>
                <w:color w:val="auto"/>
                <w:sz w:val="24"/>
                <w:szCs w:val="24"/>
              </w:rPr>
            </w:pPr>
            <w:r>
              <w:rPr>
                <w:rFonts w:hint="eastAsia" w:ascii="仿宋" w:hAnsi="仿宋" w:eastAsia="仿宋" w:cs="仿宋"/>
                <w:color w:val="auto"/>
                <w:sz w:val="24"/>
                <w:szCs w:val="24"/>
              </w:rPr>
              <w:t>实质性技术（“★”项）条款响应表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431"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2176"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比选技术参数指</w:t>
            </w:r>
            <w:r>
              <w:rPr>
                <w:rFonts w:hint="eastAsia" w:ascii="仿宋" w:hAnsi="仿宋" w:eastAsia="仿宋" w:cs="仿宋"/>
                <w:color w:val="auto"/>
                <w:sz w:val="24"/>
                <w:szCs w:val="24"/>
                <w:lang w:eastAsia="zh-CN"/>
              </w:rPr>
              <w:t>选</w:t>
            </w:r>
            <w:r>
              <w:rPr>
                <w:rFonts w:hint="eastAsia" w:ascii="仿宋" w:hAnsi="仿宋" w:eastAsia="仿宋" w:cs="仿宋"/>
                <w:color w:val="auto"/>
                <w:sz w:val="24"/>
                <w:szCs w:val="24"/>
              </w:rPr>
              <w:t>/要求</w:t>
            </w:r>
          </w:p>
        </w:tc>
        <w:tc>
          <w:tcPr>
            <w:tcW w:w="1926"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响应技术参数</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（填写响应货物的具体参数）</w:t>
            </w:r>
          </w:p>
        </w:tc>
        <w:tc>
          <w:tcPr>
            <w:tcW w:w="775"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是否响应</w:t>
            </w:r>
          </w:p>
        </w:tc>
        <w:tc>
          <w:tcPr>
            <w:tcW w:w="113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偏离情况</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（正/负/无）</w:t>
            </w:r>
          </w:p>
        </w:tc>
        <w:tc>
          <w:tcPr>
            <w:tcW w:w="1004"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偏离说明</w:t>
            </w:r>
          </w:p>
        </w:tc>
        <w:tc>
          <w:tcPr>
            <w:tcW w:w="1984"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31"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rPr>
            </w:pPr>
          </w:p>
        </w:tc>
        <w:tc>
          <w:tcPr>
            <w:tcW w:w="217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rPr>
            </w:pPr>
          </w:p>
        </w:tc>
        <w:tc>
          <w:tcPr>
            <w:tcW w:w="192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775"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13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00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98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31"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rPr>
            </w:pPr>
          </w:p>
        </w:tc>
        <w:tc>
          <w:tcPr>
            <w:tcW w:w="217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rPr>
            </w:pPr>
          </w:p>
        </w:tc>
        <w:tc>
          <w:tcPr>
            <w:tcW w:w="192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775"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13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00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98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431"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rPr>
            </w:pPr>
          </w:p>
        </w:tc>
        <w:tc>
          <w:tcPr>
            <w:tcW w:w="217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rPr>
            </w:pPr>
          </w:p>
        </w:tc>
        <w:tc>
          <w:tcPr>
            <w:tcW w:w="192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775"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13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00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98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431"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kern w:val="0"/>
                <w:sz w:val="24"/>
                <w:szCs w:val="24"/>
              </w:rPr>
            </w:pPr>
          </w:p>
        </w:tc>
        <w:tc>
          <w:tcPr>
            <w:tcW w:w="217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kern w:val="0"/>
                <w:sz w:val="24"/>
                <w:szCs w:val="24"/>
              </w:rPr>
            </w:pPr>
          </w:p>
        </w:tc>
        <w:tc>
          <w:tcPr>
            <w:tcW w:w="1926"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775"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138"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00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c>
          <w:tcPr>
            <w:tcW w:w="1984" w:type="dxa"/>
            <w:noWrap w:val="0"/>
            <w:vAlign w:val="top"/>
          </w:tcPr>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rPr>
        <w:t>注：1.响应供应商必须对应比选文件中的技术参数指</w:t>
      </w:r>
      <w:r>
        <w:rPr>
          <w:rFonts w:hint="eastAsia" w:ascii="仿宋" w:hAnsi="仿宋" w:eastAsia="仿宋" w:cs="仿宋"/>
          <w:color w:val="auto"/>
          <w:sz w:val="24"/>
          <w:lang w:eastAsia="zh-CN"/>
        </w:rPr>
        <w:t>选</w:t>
      </w:r>
      <w:r>
        <w:rPr>
          <w:rFonts w:ascii="仿宋" w:hAnsi="仿宋" w:eastAsia="仿宋" w:cs="仿宋"/>
          <w:color w:val="auto"/>
          <w:sz w:val="24"/>
        </w:rPr>
        <w:t>要求</w:t>
      </w:r>
      <w:r>
        <w:rPr>
          <w:rFonts w:hint="eastAsia" w:ascii="仿宋" w:hAnsi="仿宋" w:eastAsia="仿宋" w:cs="仿宋"/>
          <w:color w:val="auto"/>
          <w:sz w:val="24"/>
        </w:rPr>
        <w:t>的“★”项内容逐条响应。采购文件无相关要求则不用填。</w:t>
      </w:r>
      <w:r>
        <w:rPr>
          <w:rFonts w:hint="eastAsia" w:ascii="仿宋" w:hAnsi="仿宋" w:eastAsia="仿宋" w:cs="仿宋"/>
          <w:b/>
          <w:bCs/>
          <w:color w:val="auto"/>
          <w:sz w:val="24"/>
        </w:rPr>
        <w:t>如有缺漏，缺漏项视同不符合比选要求。</w:t>
      </w:r>
      <w:r>
        <w:rPr>
          <w:rFonts w:hint="eastAsia" w:ascii="仿宋" w:hAnsi="仿宋" w:eastAsia="仿宋" w:cs="仿宋"/>
          <w:color w:val="auto"/>
          <w:sz w:val="24"/>
        </w:rPr>
        <w:t>“★”项为不可负偏离（劣于）的重要项。</w:t>
      </w:r>
      <w:r>
        <w:rPr>
          <w:rFonts w:hint="eastAsia" w:ascii="仿宋" w:hAnsi="仿宋" w:eastAsia="仿宋" w:cs="仿宋"/>
          <w:color w:val="auto"/>
          <w:sz w:val="24"/>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w:t>
      </w:r>
      <w:r>
        <w:rPr>
          <w:rFonts w:hint="eastAsia" w:ascii="仿宋" w:hAnsi="仿宋" w:eastAsia="仿宋" w:cs="仿宋"/>
          <w:color w:val="auto"/>
          <w:sz w:val="24"/>
          <w:lang w:val="en-GB" w:eastAsia="zh-CN"/>
        </w:rPr>
        <w:t>做</w:t>
      </w:r>
      <w:r>
        <w:rPr>
          <w:rFonts w:hint="eastAsia" w:ascii="仿宋" w:hAnsi="仿宋" w:eastAsia="仿宋" w:cs="仿宋"/>
          <w:color w:val="auto"/>
          <w:sz w:val="24"/>
          <w:lang w:val="en-GB"/>
        </w:rPr>
        <w:t>任何更改。否则视为不符合响应要求。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2.响应供应商响应采购需求必须具体，明确。含糊不清、不确切或伪造、变造证明材料的，按照不完全响应或者不响应处理。</w:t>
      </w:r>
      <w:r>
        <w:rPr>
          <w:rFonts w:hint="eastAsia" w:ascii="仿宋" w:hAnsi="仿宋" w:eastAsia="仿宋" w:cs="仿宋"/>
          <w:color w:val="auto"/>
          <w:sz w:val="24"/>
        </w:rPr>
        <w:t>应提供至少一份厂家技术参数彩页或说明原件，如</w:t>
      </w:r>
      <w:r>
        <w:rPr>
          <w:rFonts w:hint="eastAsia" w:ascii="仿宋" w:hAnsi="仿宋" w:eastAsia="仿宋" w:cs="仿宋"/>
          <w:color w:val="auto"/>
          <w:sz w:val="24"/>
          <w:szCs w:val="24"/>
        </w:rPr>
        <w:t>提供虚假材料的，将被列入黑名单三年内禁止响应。</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w:t>
      </w:r>
      <w:r>
        <w:rPr>
          <w:rFonts w:hint="eastAsia" w:ascii="仿宋" w:hAnsi="仿宋" w:eastAsia="仿宋" w:cs="仿宋"/>
          <w:b/>
          <w:color w:val="auto"/>
          <w:sz w:val="24"/>
        </w:rPr>
        <w:t>如所投设备参数与比选要求不一致的，响应供应商必须按所投设备的出厂参数进行响应参数填写（必须详细填写），不得随意复制比选文件技术参数粘贴。否则，在安装或验收后续工作中核对真实参数不一致导致不予安装或验收的，后果自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响应供应商名称（签章）：</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pacing w:val="0"/>
          <w:kern w:val="2"/>
          <w:sz w:val="24"/>
          <w:szCs w:val="24"/>
          <w:lang w:val="en-US" w:eastAsia="zh-CN" w:bidi="ar-SA"/>
        </w:rPr>
      </w:pPr>
      <w:r>
        <w:rPr>
          <w:rFonts w:ascii="仿宋" w:hAnsi="仿宋" w:eastAsia="仿宋" w:cs="仿宋"/>
          <w:color w:val="auto"/>
          <w:sz w:val="24"/>
        </w:rPr>
        <w:br w:type="page"/>
      </w:r>
      <w:r>
        <w:rPr>
          <w:rFonts w:hint="eastAsia" w:ascii="仿宋" w:hAnsi="仿宋" w:eastAsia="仿宋" w:cs="仿宋"/>
          <w:b/>
          <w:bCs/>
          <w:color w:val="auto"/>
          <w:spacing w:val="0"/>
          <w:kern w:val="2"/>
          <w:sz w:val="24"/>
          <w:szCs w:val="24"/>
          <w:lang w:val="en-US" w:eastAsia="zh-CN" w:bidi="ar-SA"/>
        </w:rPr>
        <w:t>1.2技术（参数）条款响应表</w:t>
      </w:r>
    </w:p>
    <w:tbl>
      <w:tblPr>
        <w:tblStyle w:val="31"/>
        <w:tblW w:w="11455" w:type="dxa"/>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137"/>
        <w:gridCol w:w="2551"/>
        <w:gridCol w:w="1985"/>
        <w:gridCol w:w="708"/>
        <w:gridCol w:w="1418"/>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5" w:type="dxa"/>
            <w:gridSpan w:val="8"/>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一般技术参数条款</w:t>
            </w:r>
            <w:r>
              <w:rPr>
                <w:rFonts w:hint="eastAsia" w:ascii="仿宋" w:hAnsi="仿宋" w:eastAsia="仿宋" w:cs="仿宋"/>
                <w:color w:val="auto"/>
                <w:kern w:val="0"/>
                <w:szCs w:val="21"/>
              </w:rPr>
              <w:t>和</w:t>
            </w:r>
            <w:r>
              <w:rPr>
                <w:rFonts w:hint="eastAsia" w:ascii="仿宋" w:hAnsi="仿宋" w:eastAsia="仿宋" w:cs="仿宋"/>
                <w:color w:val="auto"/>
                <w:szCs w:val="21"/>
              </w:rPr>
              <w:t>含</w:t>
            </w:r>
            <w:r>
              <w:rPr>
                <w:rFonts w:hint="eastAsia" w:ascii="仿宋" w:hAnsi="仿宋" w:eastAsia="仿宋" w:cs="仿宋"/>
                <w:color w:val="auto"/>
                <w:kern w:val="0"/>
                <w:szCs w:val="21"/>
              </w:rPr>
              <w:t>“▲”的主要技术参数</w:t>
            </w:r>
            <w:r>
              <w:rPr>
                <w:rFonts w:hint="eastAsia" w:ascii="仿宋" w:hAnsi="仿宋" w:eastAsia="仿宋" w:cs="仿宋"/>
                <w:color w:val="auto"/>
                <w:szCs w:val="21"/>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137"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名称</w:t>
            </w:r>
          </w:p>
        </w:tc>
        <w:tc>
          <w:tcPr>
            <w:tcW w:w="2551"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比选技术参数指</w:t>
            </w:r>
            <w:r>
              <w:rPr>
                <w:rFonts w:hint="eastAsia" w:ascii="仿宋" w:hAnsi="仿宋" w:eastAsia="仿宋" w:cs="仿宋"/>
                <w:color w:val="auto"/>
                <w:szCs w:val="21"/>
                <w:lang w:eastAsia="zh-CN"/>
              </w:rPr>
              <w:t>选</w:t>
            </w:r>
            <w:r>
              <w:rPr>
                <w:rFonts w:hint="eastAsia" w:ascii="仿宋" w:hAnsi="仿宋" w:eastAsia="仿宋" w:cs="仿宋"/>
                <w:color w:val="auto"/>
                <w:szCs w:val="21"/>
              </w:rPr>
              <w:t>/要求</w:t>
            </w:r>
          </w:p>
        </w:tc>
        <w:tc>
          <w:tcPr>
            <w:tcW w:w="1985"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响应技术参数</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（填写响应货物的具体参数）</w:t>
            </w:r>
          </w:p>
        </w:tc>
        <w:tc>
          <w:tcPr>
            <w:tcW w:w="70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是否响应</w:t>
            </w:r>
          </w:p>
        </w:tc>
        <w:tc>
          <w:tcPr>
            <w:tcW w:w="1418"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偏离情况</w:t>
            </w:r>
          </w:p>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（正/负/无）</w:t>
            </w:r>
          </w:p>
        </w:tc>
        <w:tc>
          <w:tcPr>
            <w:tcW w:w="992"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偏离说明</w:t>
            </w:r>
          </w:p>
        </w:tc>
        <w:tc>
          <w:tcPr>
            <w:tcW w:w="1701" w:type="dxa"/>
            <w:shd w:val="clear" w:color="auto" w:fill="F1F1F1"/>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r>
              <w:rPr>
                <w:rFonts w:hint="eastAsia" w:ascii="仿宋" w:hAnsi="仿宋" w:eastAsia="仿宋" w:cs="仿宋"/>
                <w:color w:val="auto"/>
                <w:szCs w:val="21"/>
              </w:rPr>
              <w:t>需注明对应证明材料条款所在位置，尤其是含</w:t>
            </w:r>
            <w:r>
              <w:rPr>
                <w:rFonts w:hint="eastAsia" w:ascii="仿宋" w:hAnsi="仿宋" w:eastAsia="仿宋" w:cs="仿宋"/>
                <w:color w:val="auto"/>
                <w:kern w:val="0"/>
                <w:szCs w:val="21"/>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w:t>
            </w:r>
          </w:p>
        </w:tc>
        <w:tc>
          <w:tcPr>
            <w:tcW w:w="113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2551"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98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70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41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99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701"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w:t>
            </w:r>
          </w:p>
        </w:tc>
        <w:tc>
          <w:tcPr>
            <w:tcW w:w="113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2551"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98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70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41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99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701"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w:t>
            </w:r>
          </w:p>
        </w:tc>
        <w:tc>
          <w:tcPr>
            <w:tcW w:w="113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2551"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98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70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41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99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701"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shd w:val="clear" w:color="auto" w:fill="F1F1F1"/>
            <w:noWrap w:val="0"/>
            <w:vAlign w:val="center"/>
          </w:tcPr>
          <w:p>
            <w:pPr>
              <w:keepNext w:val="0"/>
              <w:keepLines w:val="0"/>
              <w:suppressLineNumbers w:val="0"/>
              <w:spacing w:before="0" w:beforeAutospacing="0" w:after="0" w:afterAutospacing="0" w:line="240" w:lineRule="atLeast"/>
              <w:ind w:left="0" w:right="0"/>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w:t>
            </w:r>
          </w:p>
        </w:tc>
        <w:tc>
          <w:tcPr>
            <w:tcW w:w="1137"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2551"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985"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70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418"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992" w:type="dxa"/>
            <w:shd w:val="clear" w:color="auto" w:fill="FFFFFF"/>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c>
          <w:tcPr>
            <w:tcW w:w="1701" w:type="dxa"/>
            <w:shd w:val="clear" w:color="auto" w:fill="FFFFFF"/>
            <w:noWrap w:val="0"/>
            <w:vAlign w:val="top"/>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注：1.上表“序号”“名称”“比选技术参数指</w:t>
      </w:r>
      <w:r>
        <w:rPr>
          <w:rFonts w:hint="eastAsia" w:ascii="仿宋" w:hAnsi="仿宋" w:eastAsia="仿宋" w:cs="仿宋"/>
          <w:color w:val="auto"/>
          <w:sz w:val="24"/>
          <w:lang w:eastAsia="zh-CN"/>
        </w:rPr>
        <w:t>选</w:t>
      </w:r>
      <w:r>
        <w:rPr>
          <w:rFonts w:hint="eastAsia" w:ascii="仿宋" w:hAnsi="仿宋" w:eastAsia="仿宋" w:cs="仿宋"/>
          <w:color w:val="auto"/>
          <w:sz w:val="24"/>
        </w:rPr>
        <w:t>/要求”等三列，响应供应商需严格按照采购文件中</w:t>
      </w:r>
      <w:r>
        <w:rPr>
          <w:rFonts w:hint="eastAsia" w:ascii="仿宋" w:hAnsi="仿宋" w:eastAsia="仿宋" w:cs="仿宋"/>
          <w:b/>
          <w:bCs/>
          <w:color w:val="auto"/>
          <w:sz w:val="24"/>
        </w:rPr>
        <w:t>“采购项目技术参数需求”</w:t>
      </w:r>
      <w:r>
        <w:rPr>
          <w:rFonts w:hint="eastAsia" w:ascii="仿宋" w:hAnsi="仿宋" w:eastAsia="仿宋" w:cs="仿宋"/>
          <w:color w:val="auto"/>
          <w:sz w:val="24"/>
        </w:rPr>
        <w:t>的内容填写。（若采购文件已填写则不需要）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lang w:val="en-GB"/>
        </w:rPr>
      </w:pPr>
      <w:r>
        <w:rPr>
          <w:rFonts w:hint="eastAsia" w:ascii="仿宋" w:hAnsi="仿宋" w:eastAsia="仿宋" w:cs="仿宋"/>
          <w:color w:val="auto"/>
          <w:sz w:val="24"/>
        </w:rPr>
        <w:t>2.响应供应商必须对应比选文件中</w:t>
      </w:r>
      <w:r>
        <w:rPr>
          <w:rFonts w:ascii="仿宋" w:hAnsi="仿宋" w:eastAsia="仿宋" w:cs="仿宋"/>
          <w:color w:val="auto"/>
          <w:sz w:val="24"/>
        </w:rPr>
        <w:t>的</w:t>
      </w:r>
      <w:r>
        <w:rPr>
          <w:rFonts w:hint="eastAsia" w:ascii="仿宋" w:hAnsi="仿宋" w:eastAsia="仿宋" w:cs="仿宋"/>
          <w:color w:val="auto"/>
          <w:sz w:val="24"/>
        </w:rPr>
        <w:t>技术参数指</w:t>
      </w:r>
      <w:r>
        <w:rPr>
          <w:rFonts w:hint="eastAsia" w:ascii="仿宋" w:hAnsi="仿宋" w:eastAsia="仿宋" w:cs="仿宋"/>
          <w:color w:val="auto"/>
          <w:sz w:val="24"/>
          <w:lang w:eastAsia="zh-CN"/>
        </w:rPr>
        <w:t>选</w:t>
      </w:r>
      <w:r>
        <w:rPr>
          <w:rFonts w:ascii="仿宋" w:hAnsi="仿宋" w:eastAsia="仿宋" w:cs="仿宋"/>
          <w:color w:val="auto"/>
          <w:sz w:val="24"/>
        </w:rPr>
        <w:t>要求</w:t>
      </w:r>
      <w:r>
        <w:rPr>
          <w:rFonts w:hint="eastAsia" w:ascii="仿宋" w:hAnsi="仿宋" w:eastAsia="仿宋" w:cs="仿宋"/>
          <w:color w:val="auto"/>
          <w:sz w:val="24"/>
        </w:rPr>
        <w:t>的内容逐条响应。</w:t>
      </w:r>
      <w:r>
        <w:rPr>
          <w:rFonts w:hint="eastAsia" w:ascii="仿宋" w:hAnsi="仿宋" w:eastAsia="仿宋" w:cs="仿宋"/>
          <w:b/>
          <w:bCs/>
          <w:color w:val="auto"/>
          <w:sz w:val="24"/>
        </w:rPr>
        <w:t>如有缺漏项视同不符合对应技术条款要求</w:t>
      </w:r>
      <w:r>
        <w:rPr>
          <w:rFonts w:hint="eastAsia" w:ascii="仿宋" w:hAnsi="仿宋" w:eastAsia="仿宋" w:cs="仿宋"/>
          <w:color w:val="auto"/>
          <w:sz w:val="24"/>
        </w:rPr>
        <w:t>。</w:t>
      </w:r>
      <w:r>
        <w:rPr>
          <w:rFonts w:hint="eastAsia" w:ascii="仿宋" w:hAnsi="仿宋" w:eastAsia="仿宋" w:cs="仿宋"/>
          <w:color w:val="auto"/>
          <w:sz w:val="24"/>
          <w:lang w:val="en-GB"/>
        </w:rPr>
        <w:t>响应供应商请在“是否响应”栏内填“是”或“否”（不得空白，空白视为“否”），并对照偏离情况请在“偏离说明”栏内扼要说明偏离情况，不响应视为负偏离。比选技术参数/要求必须按照比选文件的，不得</w:t>
      </w:r>
      <w:r>
        <w:rPr>
          <w:rFonts w:hint="eastAsia" w:ascii="仿宋" w:hAnsi="仿宋" w:eastAsia="仿宋" w:cs="仿宋"/>
          <w:color w:val="auto"/>
          <w:sz w:val="24"/>
          <w:lang w:val="en-GB" w:eastAsia="zh-CN"/>
        </w:rPr>
        <w:t>做</w:t>
      </w:r>
      <w:r>
        <w:rPr>
          <w:rFonts w:hint="eastAsia" w:ascii="仿宋" w:hAnsi="仿宋" w:eastAsia="仿宋" w:cs="仿宋"/>
          <w:color w:val="auto"/>
          <w:sz w:val="24"/>
          <w:lang w:val="en-GB"/>
        </w:rPr>
        <w:t>任何更改。否则视为不符合响应要求。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GB"/>
        </w:rPr>
        <w:t>.</w:t>
      </w:r>
      <w:r>
        <w:rPr>
          <w:rFonts w:hint="eastAsia" w:ascii="仿宋" w:hAnsi="仿宋" w:eastAsia="仿宋" w:cs="仿宋"/>
          <w:color w:val="auto"/>
          <w:sz w:val="24"/>
        </w:rPr>
        <w:t>响应供应商响应采购需求应具体、明确，含糊不清、不确切或伪造、变造证明材料的，按照不完全响应或者完全不响应处理。应提供至少一份厂家技术参数彩页或说明原件，如构成提供虚假材料的，移送监管部门查处。</w:t>
      </w:r>
    </w:p>
    <w:p>
      <w:pPr>
        <w:keepNext w:val="0"/>
        <w:keepLines w:val="0"/>
        <w:pageBreakBefore w:val="0"/>
        <w:widowControl w:val="0"/>
        <w:kinsoku/>
        <w:wordWrap/>
        <w:overflowPunct/>
        <w:topLinePunct w:val="0"/>
        <w:autoSpaceDE/>
        <w:autoSpaceDN/>
        <w:bidi w:val="0"/>
        <w:spacing w:after="120" w:line="360" w:lineRule="auto"/>
        <w:ind w:firstLine="482" w:firstLineChars="200"/>
        <w:textAlignment w:val="auto"/>
        <w:rPr>
          <w:rFonts w:hint="eastAsia" w:ascii="仿宋" w:hAnsi="仿宋" w:eastAsia="仿宋" w:cs="仿宋"/>
          <w:color w:val="auto"/>
          <w:sz w:val="24"/>
        </w:rPr>
      </w:pPr>
      <w:r>
        <w:rPr>
          <w:rFonts w:hint="eastAsia" w:ascii="仿宋" w:hAnsi="仿宋" w:eastAsia="仿宋" w:cs="仿宋"/>
          <w:b/>
          <w:color w:val="auto"/>
          <w:sz w:val="24"/>
        </w:rPr>
        <w:t>4.如所投货物参数与比选要求不一致的，响应供应商必须按所投货物的出厂参数进行响应参数填写（必须详细填写），不得随意复制比选文件技术参数粘贴。否则，在安装或验收后续工作中核对真实参数不一致导致不予安装或验收的，后果自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响应供应商名称（签章）：</w:t>
      </w:r>
      <w:r>
        <w:rPr>
          <w:rFonts w:hint="eastAsia" w:ascii="仿宋" w:hAnsi="仿宋" w:eastAsia="仿宋" w:cs="仿宋"/>
          <w:color w:val="auto"/>
          <w:sz w:val="24"/>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color w:val="auto"/>
          <w:sz w:val="24"/>
        </w:rPr>
      </w:pPr>
      <w:r>
        <w:rPr>
          <w:rFonts w:hint="eastAsia" w:ascii="仿宋" w:hAnsi="仿宋" w:eastAsia="仿宋" w:cs="仿宋"/>
          <w:color w:val="auto"/>
          <w:sz w:val="24"/>
        </w:rPr>
        <w:t>日期：   年   月   日</w:t>
      </w: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rPr>
      </w:pPr>
      <w:r>
        <w:rPr>
          <w:rFonts w:ascii="仿宋" w:hAnsi="仿宋" w:eastAsia="仿宋" w:cs="仿宋"/>
          <w:b/>
          <w:color w:val="auto"/>
          <w:sz w:val="24"/>
        </w:rPr>
        <w:br w:type="page"/>
      </w:r>
      <w:bookmarkStart w:id="23" w:name="_Toc202819882"/>
      <w:bookmarkStart w:id="24" w:name="_Toc202817000"/>
      <w:bookmarkStart w:id="25" w:name="_Toc202251703"/>
      <w:bookmarkStart w:id="26" w:name="_Toc202251078"/>
      <w:bookmarkStart w:id="27" w:name="_Toc202820355"/>
      <w:bookmarkStart w:id="28" w:name="_Toc202254108"/>
      <w:bookmarkStart w:id="29" w:name="_Toc202252037"/>
      <w:r>
        <w:rPr>
          <w:rFonts w:hint="eastAsia" w:ascii="仿宋" w:hAnsi="仿宋" w:eastAsia="仿宋" w:cs="仿宋"/>
          <w:b/>
          <w:bCs/>
          <w:color w:val="auto"/>
          <w:kern w:val="2"/>
          <w:sz w:val="28"/>
          <w:szCs w:val="28"/>
          <w:lang w:val="en-US" w:eastAsia="zh-CN" w:bidi="ar-SA"/>
        </w:rPr>
        <w:t xml:space="preserve">格式十三：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价格部分</w:t>
      </w:r>
      <w:bookmarkEnd w:id="23"/>
      <w:bookmarkEnd w:id="24"/>
      <w:bookmarkEnd w:id="25"/>
      <w:bookmarkEnd w:id="26"/>
      <w:bookmarkEnd w:id="27"/>
      <w:bookmarkEnd w:id="28"/>
      <w:bookmarkEnd w:id="29"/>
    </w:p>
    <w:p>
      <w:pPr>
        <w:autoSpaceDE/>
        <w:autoSpaceDN/>
        <w:spacing w:line="360" w:lineRule="auto"/>
        <w:ind w:firstLine="562" w:firstLineChars="200"/>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比选</w:t>
      </w:r>
      <w:r>
        <w:rPr>
          <w:rFonts w:hint="eastAsia" w:ascii="仿宋" w:hAnsi="仿宋" w:eastAsia="仿宋" w:cs="仿宋"/>
          <w:b/>
          <w:bCs/>
          <w:color w:val="auto"/>
          <w:sz w:val="28"/>
          <w:szCs w:val="28"/>
          <w:highlight w:val="none"/>
        </w:rPr>
        <w:t>一览表(报价表)</w:t>
      </w:r>
    </w:p>
    <w:p>
      <w:pPr>
        <w:pStyle w:val="5"/>
        <w:ind w:firstLine="48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p>
    <w:p>
      <w:pPr>
        <w:pStyle w:val="5"/>
        <w:ind w:firstLine="48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采购编号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tbl>
      <w:tblPr>
        <w:tblStyle w:val="31"/>
        <w:tblpPr w:leftFromText="180" w:rightFromText="180" w:vertAnchor="text" w:horzAnchor="page" w:tblpX="1301" w:tblpY="268"/>
        <w:tblOverlap w:val="never"/>
        <w:tblW w:w="9638" w:type="dxa"/>
        <w:tblInd w:w="0" w:type="dxa"/>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
      <w:tblGrid>
        <w:gridCol w:w="2131"/>
        <w:gridCol w:w="1316"/>
        <w:gridCol w:w="3645"/>
        <w:gridCol w:w="2546"/>
      </w:tblGrid>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trHeight w:val="529" w:hRule="atLeast"/>
        </w:trPr>
        <w:tc>
          <w:tcPr>
            <w:tcW w:w="2131" w:type="dxa"/>
            <w:shd w:val="clear" w:color="auto" w:fill="F1F1F1"/>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采购内容</w:t>
            </w:r>
          </w:p>
        </w:tc>
        <w:tc>
          <w:tcPr>
            <w:tcW w:w="1316" w:type="dxa"/>
            <w:shd w:val="clear" w:color="auto" w:fill="F1F1F1"/>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3645" w:type="dxa"/>
            <w:shd w:val="clear" w:color="auto" w:fill="F1F1F1"/>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比选</w:t>
            </w:r>
            <w:r>
              <w:rPr>
                <w:rFonts w:hint="eastAsia" w:ascii="仿宋" w:hAnsi="仿宋" w:eastAsia="仿宋" w:cs="仿宋"/>
                <w:b/>
                <w:color w:val="auto"/>
                <w:sz w:val="24"/>
                <w:szCs w:val="24"/>
                <w:highlight w:val="none"/>
              </w:rPr>
              <w:t>报价</w:t>
            </w:r>
          </w:p>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人民币 元</w:t>
            </w:r>
            <w:r>
              <w:rPr>
                <w:rFonts w:hint="eastAsia" w:ascii="仿宋" w:hAnsi="仿宋" w:eastAsia="仿宋" w:cs="仿宋"/>
                <w:b/>
                <w:color w:val="auto"/>
                <w:sz w:val="24"/>
                <w:szCs w:val="24"/>
                <w:highlight w:val="none"/>
                <w:lang w:eastAsia="zh-CN"/>
              </w:rPr>
              <w:t>）</w:t>
            </w:r>
          </w:p>
        </w:tc>
        <w:tc>
          <w:tcPr>
            <w:tcW w:w="2546" w:type="dxa"/>
            <w:shd w:val="clear" w:color="auto" w:fill="F1F1F1"/>
            <w:noWrap w:val="0"/>
            <w:vAlign w:val="center"/>
          </w:tcPr>
          <w:p>
            <w:pPr>
              <w:keepNext w:val="0"/>
              <w:keepLines w:val="0"/>
              <w:widowControl/>
              <w:suppressLineNumbers w:val="0"/>
              <w:autoSpaceDE w:val="0"/>
              <w:autoSpaceDN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期限</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1620" w:hRule="atLeast"/>
        </w:trPr>
        <w:tc>
          <w:tcPr>
            <w:tcW w:w="2131"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
                <w:color w:val="auto"/>
                <w:sz w:val="24"/>
                <w:szCs w:val="24"/>
                <w:highlight w:val="none"/>
                <w:lang w:eastAsia="zh-CN"/>
              </w:rPr>
            </w:pPr>
          </w:p>
        </w:tc>
        <w:tc>
          <w:tcPr>
            <w:tcW w:w="1316"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lang w:val="en-US" w:eastAsia="zh-CN"/>
              </w:rPr>
            </w:pPr>
          </w:p>
        </w:tc>
        <w:tc>
          <w:tcPr>
            <w:tcW w:w="3645"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lang w:val="en-US" w:eastAsia="zh-CN"/>
              </w:rPr>
              <w:t xml:space="preserve">               </w:t>
            </w:r>
          </w:p>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rPr>
            </w:pPr>
          </w:p>
          <w:p>
            <w:pPr>
              <w:keepNext w:val="0"/>
              <w:keepLines w:val="0"/>
              <w:suppressLineNumbers w:val="0"/>
              <w:autoSpaceDE w:val="0"/>
              <w:autoSpaceDN w:val="0"/>
              <w:snapToGrid w:val="0"/>
              <w:spacing w:before="0" w:beforeAutospacing="0" w:after="0" w:afterAutospacing="0" w:line="240" w:lineRule="auto"/>
              <w:ind w:left="0" w:right="0"/>
              <w:jc w:val="left"/>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lang w:val="en-US" w:eastAsia="zh-CN"/>
              </w:rPr>
              <w:t xml:space="preserve">                </w:t>
            </w:r>
          </w:p>
        </w:tc>
        <w:tc>
          <w:tcPr>
            <w:tcW w:w="2546" w:type="dxa"/>
            <w:noWrap w:val="0"/>
            <w:vAlign w:val="center"/>
          </w:tcPr>
          <w:p>
            <w:pPr>
              <w:keepNext w:val="0"/>
              <w:keepLines w:val="0"/>
              <w:suppressLineNumbers w:val="0"/>
              <w:autoSpaceDE w:val="0"/>
              <w:autoSpaceDN w:val="0"/>
              <w:snapToGrid w:val="0"/>
              <w:spacing w:before="0" w:beforeAutospacing="0" w:after="0" w:afterAutospacing="0" w:line="240" w:lineRule="auto"/>
              <w:ind w:left="0" w:right="0"/>
              <w:jc w:val="center"/>
              <w:textAlignment w:val="auto"/>
              <w:rPr>
                <w:rFonts w:hint="eastAsia" w:ascii="仿宋" w:hAnsi="仿宋" w:eastAsia="仿宋" w:cs="仿宋"/>
                <w:bCs/>
                <w:color w:val="auto"/>
                <w:sz w:val="24"/>
                <w:szCs w:val="24"/>
                <w:highlight w:val="none"/>
                <w:u w:val="none"/>
                <w:lang w:eastAsia="zh-CN"/>
              </w:rPr>
            </w:pPr>
          </w:p>
        </w:tc>
      </w:tr>
    </w:tbl>
    <w:p>
      <w:pPr>
        <w:snapToGrid w:val="0"/>
        <w:spacing w:line="360" w:lineRule="auto"/>
        <w:rPr>
          <w:rFonts w:hint="eastAsia" w:ascii="仿宋" w:hAnsi="仿宋" w:eastAsia="仿宋" w:cs="仿宋"/>
          <w:color w:val="auto"/>
          <w:spacing w:val="4"/>
          <w:sz w:val="24"/>
          <w:highlight w:val="none"/>
          <w:lang w:eastAsia="zh-CN"/>
        </w:rPr>
      </w:pPr>
    </w:p>
    <w:p>
      <w:pPr>
        <w:snapToGrid w:val="0"/>
        <w:spacing w:line="360" w:lineRule="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pacing w:val="4"/>
          <w:sz w:val="24"/>
          <w:highlight w:val="none"/>
          <w:lang w:eastAsia="zh-CN"/>
        </w:rPr>
        <w:t>比选供应商</w:t>
      </w:r>
      <w:r>
        <w:rPr>
          <w:rFonts w:hint="eastAsia" w:ascii="仿宋" w:hAnsi="仿宋" w:eastAsia="仿宋" w:cs="仿宋"/>
          <w:color w:val="auto"/>
          <w:spacing w:val="4"/>
          <w:sz w:val="24"/>
          <w:highlight w:val="none"/>
        </w:rPr>
        <w:t>名称（签章）：</w:t>
      </w:r>
      <w:r>
        <w:rPr>
          <w:rFonts w:hint="eastAsia" w:ascii="仿宋" w:hAnsi="仿宋" w:eastAsia="仿宋" w:cs="仿宋"/>
          <w:color w:val="auto"/>
          <w:sz w:val="24"/>
          <w:highlight w:val="none"/>
          <w:u w:val="single"/>
          <w:lang w:val="en-US" w:eastAsia="zh-CN"/>
        </w:rPr>
        <w:t xml:space="preserve">                  </w:t>
      </w:r>
    </w:p>
    <w:p>
      <w:pPr>
        <w:snapToGrid w:val="0"/>
        <w:spacing w:line="360" w:lineRule="auto"/>
        <w:rPr>
          <w:rFonts w:hint="default" w:ascii="仿宋" w:hAnsi="仿宋" w:eastAsia="仿宋" w:cs="仿宋"/>
          <w:color w:val="auto"/>
          <w:spacing w:val="4"/>
          <w:sz w:val="24"/>
          <w:highlight w:val="none"/>
          <w:u w:val="single"/>
          <w:lang w:val="en-US" w:eastAsia="zh-CN"/>
        </w:rPr>
      </w:pPr>
      <w:r>
        <w:rPr>
          <w:rFonts w:hint="eastAsia" w:ascii="仿宋" w:hAnsi="仿宋" w:eastAsia="仿宋" w:cs="仿宋"/>
          <w:color w:val="auto"/>
          <w:spacing w:val="4"/>
          <w:sz w:val="24"/>
          <w:highlight w:val="none"/>
        </w:rPr>
        <w:t>日期：</w:t>
      </w:r>
      <w:r>
        <w:rPr>
          <w:rFonts w:hint="eastAsia" w:ascii="仿宋" w:hAnsi="仿宋" w:eastAsia="仿宋" w:cs="仿宋"/>
          <w:color w:val="auto"/>
          <w:spacing w:val="4"/>
          <w:sz w:val="24"/>
          <w:highlight w:val="none"/>
          <w:u w:val="single"/>
          <w:lang w:val="en-US" w:eastAsia="zh-CN"/>
        </w:rPr>
        <w:t xml:space="preserve">                   </w:t>
      </w:r>
    </w:p>
    <w:p>
      <w:pPr>
        <w:tabs>
          <w:tab w:val="left" w:pos="360"/>
        </w:tabs>
        <w:snapToGrid w:val="0"/>
        <w:spacing w:line="360" w:lineRule="auto"/>
        <w:rPr>
          <w:rFonts w:hint="eastAsia" w:ascii="仿宋" w:hAnsi="仿宋" w:eastAsia="仿宋" w:cs="仿宋"/>
          <w:b/>
          <w:color w:val="auto"/>
          <w:spacing w:val="4"/>
          <w:sz w:val="24"/>
          <w:highlight w:val="none"/>
        </w:rPr>
      </w:pPr>
    </w:p>
    <w:p>
      <w:pPr>
        <w:tabs>
          <w:tab w:val="left" w:pos="360"/>
        </w:tabs>
        <w:snapToGrid w:val="0"/>
        <w:spacing w:line="360" w:lineRule="auto"/>
        <w:rPr>
          <w:rFonts w:hint="eastAsia" w:ascii="仿宋" w:hAnsi="仿宋" w:eastAsia="仿宋" w:cs="仿宋"/>
          <w:b/>
          <w:color w:val="auto"/>
          <w:spacing w:val="4"/>
          <w:sz w:val="24"/>
          <w:highlight w:val="none"/>
        </w:rPr>
      </w:pPr>
    </w:p>
    <w:p>
      <w:pPr>
        <w:tabs>
          <w:tab w:val="left" w:pos="360"/>
        </w:tabs>
        <w:snapToGrid w:val="0"/>
        <w:spacing w:line="360" w:lineRule="auto"/>
        <w:rPr>
          <w:rFonts w:hint="eastAsia" w:ascii="仿宋" w:hAnsi="仿宋" w:eastAsia="仿宋" w:cs="仿宋"/>
          <w:b/>
          <w:color w:val="auto"/>
          <w:spacing w:val="4"/>
          <w:sz w:val="24"/>
          <w:highlight w:val="none"/>
        </w:rPr>
      </w:pPr>
      <w:r>
        <w:rPr>
          <w:rFonts w:hint="eastAsia" w:ascii="仿宋" w:hAnsi="仿宋" w:eastAsia="仿宋" w:cs="仿宋"/>
          <w:b/>
          <w:color w:val="auto"/>
          <w:spacing w:val="4"/>
          <w:sz w:val="24"/>
          <w:highlight w:val="none"/>
        </w:rPr>
        <w:t>说明：</w:t>
      </w:r>
    </w:p>
    <w:p>
      <w:pPr>
        <w:pStyle w:val="66"/>
        <w:numPr>
          <w:ilvl w:val="0"/>
          <w:numId w:val="4"/>
        </w:numPr>
        <w:tabs>
          <w:tab w:val="left" w:pos="360"/>
        </w:tabs>
        <w:snapToGrid w:val="0"/>
        <w:spacing w:line="360" w:lineRule="auto"/>
        <w:ind w:firstLineChars="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中文大写金额用汉字，如壹、贰、叁、肆、伍、陆、柒、捌、玖、拾、佰、仟、万、亿、元、角、分、零、整（正）等。</w:t>
      </w:r>
    </w:p>
    <w:p>
      <w:pPr>
        <w:pStyle w:val="66"/>
        <w:numPr>
          <w:ilvl w:val="0"/>
          <w:numId w:val="4"/>
        </w:numPr>
        <w:tabs>
          <w:tab w:val="left" w:pos="360"/>
        </w:tabs>
        <w:snapToGrid w:val="0"/>
        <w:spacing w:line="360" w:lineRule="auto"/>
        <w:ind w:left="284" w:hanging="284" w:firstLineChars="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除采购文件另有规定外，</w:t>
      </w: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文件内不得含有任何对本报价进行价格折扣的说明或资料，否则为无效</w:t>
      </w: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w:t>
      </w:r>
    </w:p>
    <w:p>
      <w:pPr>
        <w:pStyle w:val="66"/>
        <w:widowControl/>
        <w:numPr>
          <w:ilvl w:val="0"/>
          <w:numId w:val="4"/>
        </w:numPr>
        <w:tabs>
          <w:tab w:val="left" w:pos="360"/>
        </w:tabs>
        <w:snapToGrid w:val="0"/>
        <w:spacing w:line="360" w:lineRule="auto"/>
        <w:ind w:left="284" w:hanging="284" w:firstLineChars="0"/>
        <w:jc w:val="left"/>
        <w:rPr>
          <w:rFonts w:hint="eastAsia"/>
          <w:color w:val="auto"/>
          <w:spacing w:val="4"/>
          <w:sz w:val="24"/>
          <w:highlight w:val="none"/>
        </w:rPr>
      </w:pPr>
      <w:r>
        <w:rPr>
          <w:rFonts w:hint="eastAsia" w:ascii="仿宋" w:hAnsi="仿宋" w:eastAsia="仿宋" w:cs="仿宋"/>
          <w:color w:val="auto"/>
          <w:spacing w:val="4"/>
          <w:sz w:val="24"/>
          <w:highlight w:val="none"/>
          <w:lang w:eastAsia="zh-CN"/>
        </w:rPr>
        <w:t>比选</w:t>
      </w:r>
      <w:r>
        <w:rPr>
          <w:rFonts w:hint="eastAsia" w:ascii="仿宋" w:hAnsi="仿宋" w:eastAsia="仿宋" w:cs="仿宋"/>
          <w:color w:val="auto"/>
          <w:spacing w:val="4"/>
          <w:sz w:val="24"/>
          <w:highlight w:val="none"/>
        </w:rPr>
        <w:t>报价的小数点后保留2位有效数。</w:t>
      </w:r>
    </w:p>
    <w:p>
      <w:pPr>
        <w:pStyle w:val="66"/>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6"/>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6"/>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6"/>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6"/>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pPr>
    </w:p>
    <w:p>
      <w:pPr>
        <w:pStyle w:val="66"/>
        <w:widowControl/>
        <w:numPr>
          <w:ilvl w:val="0"/>
          <w:numId w:val="0"/>
        </w:numPr>
        <w:tabs>
          <w:tab w:val="left" w:pos="360"/>
        </w:tabs>
        <w:adjustRightInd w:val="0"/>
        <w:snapToGrid w:val="0"/>
        <w:spacing w:line="360" w:lineRule="auto"/>
        <w:jc w:val="left"/>
        <w:textAlignment w:val="baseline"/>
        <w:rPr>
          <w:rFonts w:hint="eastAsia"/>
          <w:color w:val="auto"/>
          <w:spacing w:val="4"/>
          <w:sz w:val="24"/>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before="120" w:beforeLines="50" w:after="240" w:afterLines="100"/>
        <w:jc w:val="center"/>
        <w:outlineLvl w:val="3"/>
        <w:rPr>
          <w:rFonts w:hint="default" w:ascii="宋体" w:hAnsi="宋体" w:eastAsia="仿宋"/>
          <w:color w:val="auto"/>
          <w:sz w:val="24"/>
          <w:highlight w:val="none"/>
          <w:lang w:val="en-US" w:eastAsia="zh-CN"/>
        </w:rPr>
      </w:pPr>
      <w:r>
        <w:rPr>
          <w:rFonts w:hint="eastAsia" w:ascii="仿宋" w:hAnsi="仿宋" w:eastAsia="仿宋" w:cs="仿宋"/>
          <w:b/>
          <w:bCs/>
          <w:color w:val="auto"/>
          <w:sz w:val="28"/>
          <w:szCs w:val="28"/>
          <w:highlight w:val="none"/>
          <w:lang w:val="en-US" w:eastAsia="zh-CN"/>
        </w:rPr>
        <w:t>分项</w:t>
      </w:r>
      <w:r>
        <w:rPr>
          <w:rFonts w:hint="eastAsia" w:ascii="仿宋" w:hAnsi="仿宋" w:eastAsia="仿宋" w:cs="仿宋"/>
          <w:b/>
          <w:bCs/>
          <w:color w:val="auto"/>
          <w:sz w:val="28"/>
          <w:szCs w:val="28"/>
          <w:highlight w:val="none"/>
        </w:rPr>
        <w:t xml:space="preserve">报价表 </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如有）</w:t>
      </w:r>
    </w:p>
    <w:tbl>
      <w:tblPr>
        <w:tblStyle w:val="31"/>
        <w:tblW w:w="144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71"/>
        <w:gridCol w:w="638"/>
        <w:gridCol w:w="1205"/>
        <w:gridCol w:w="1134"/>
        <w:gridCol w:w="2126"/>
        <w:gridCol w:w="1985"/>
        <w:gridCol w:w="1276"/>
        <w:gridCol w:w="901"/>
        <w:gridCol w:w="2281"/>
        <w:gridCol w:w="9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3"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271"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产品</w:t>
            </w:r>
          </w:p>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名称</w:t>
            </w:r>
          </w:p>
        </w:tc>
        <w:tc>
          <w:tcPr>
            <w:tcW w:w="638"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品牌</w:t>
            </w:r>
          </w:p>
        </w:tc>
        <w:tc>
          <w:tcPr>
            <w:tcW w:w="1205"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规格</w:t>
            </w:r>
          </w:p>
        </w:tc>
        <w:tc>
          <w:tcPr>
            <w:tcW w:w="1134"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型号</w:t>
            </w:r>
          </w:p>
        </w:tc>
        <w:tc>
          <w:tcPr>
            <w:tcW w:w="2126"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制造商</w:t>
            </w:r>
          </w:p>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（生产者）</w:t>
            </w:r>
          </w:p>
        </w:tc>
        <w:tc>
          <w:tcPr>
            <w:tcW w:w="1985"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原产地</w:t>
            </w:r>
          </w:p>
        </w:tc>
        <w:tc>
          <w:tcPr>
            <w:tcW w:w="1276"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w:t>
            </w:r>
          </w:p>
        </w:tc>
        <w:tc>
          <w:tcPr>
            <w:tcW w:w="901"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数量</w:t>
            </w:r>
          </w:p>
        </w:tc>
        <w:tc>
          <w:tcPr>
            <w:tcW w:w="2281" w:type="dxa"/>
            <w:tcBorders>
              <w:top w:val="single" w:color="auto" w:sz="12" w:space="0"/>
              <w:bottom w:val="double" w:color="auto" w:sz="4" w:space="0"/>
            </w:tcBorders>
            <w:shd w:val="clear" w:color="auto" w:fill="F1F1F1"/>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比选</w:t>
            </w:r>
            <w:r>
              <w:rPr>
                <w:rFonts w:hint="eastAsia" w:ascii="仿宋" w:hAnsi="仿宋" w:eastAsia="仿宋" w:cs="仿宋"/>
                <w:b/>
                <w:bCs/>
                <w:color w:val="auto"/>
                <w:sz w:val="24"/>
                <w:highlight w:val="none"/>
              </w:rPr>
              <w:t>单价</w:t>
            </w:r>
          </w:p>
          <w:p>
            <w:pPr>
              <w:keepNext w:val="0"/>
              <w:keepLines w:val="0"/>
              <w:widowControl/>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（人民币 元）</w:t>
            </w:r>
          </w:p>
        </w:tc>
        <w:tc>
          <w:tcPr>
            <w:tcW w:w="944" w:type="dxa"/>
            <w:tcBorders>
              <w:top w:val="single" w:color="auto" w:sz="12" w:space="0"/>
              <w:bottom w:val="double" w:color="auto" w:sz="4" w:space="0"/>
            </w:tcBorders>
            <w:shd w:val="clear" w:color="auto" w:fill="F1F1F1"/>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7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63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0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p>
        </w:tc>
        <w:tc>
          <w:tcPr>
            <w:tcW w:w="90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2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4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27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63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0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134"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126"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98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6"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0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22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944"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34"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总计</w:t>
            </w:r>
          </w:p>
        </w:tc>
        <w:tc>
          <w:tcPr>
            <w:tcW w:w="12490" w:type="dxa"/>
            <w:gridSpan w:val="9"/>
            <w:noWrap w:val="0"/>
            <w:vAlign w:val="top"/>
          </w:tcPr>
          <w:p>
            <w:pPr>
              <w:keepNext w:val="0"/>
              <w:keepLines w:val="0"/>
              <w:suppressLineNumbers w:val="0"/>
              <w:snapToGrid w:val="0"/>
              <w:spacing w:before="0" w:beforeAutospacing="0" w:after="0" w:afterAutospacing="0"/>
              <w:ind w:left="0" w:right="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小写：RMB</w:t>
            </w:r>
          </w:p>
          <w:p>
            <w:pPr>
              <w:keepNext w:val="0"/>
              <w:keepLines w:val="0"/>
              <w:suppressLineNumbers w:val="0"/>
              <w:spacing w:before="0" w:beforeAutospacing="0" w:after="0" w:afterAutospacing="0"/>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大写：</w:t>
            </w:r>
          </w:p>
        </w:tc>
      </w:tr>
    </w:tbl>
    <w:p>
      <w:pPr>
        <w:rPr>
          <w:rFonts w:hint="eastAsia" w:ascii="仿宋" w:hAnsi="仿宋" w:eastAsia="仿宋" w:cs="仿宋"/>
          <w:color w:val="auto"/>
          <w:sz w:val="24"/>
          <w:szCs w:val="24"/>
          <w:highlight w:val="none"/>
        </w:rPr>
      </w:pPr>
    </w:p>
    <w:p>
      <w:pPr>
        <w:pStyle w:val="66"/>
        <w:widowControl/>
        <w:numPr>
          <w:ilvl w:val="0"/>
          <w:numId w:val="0"/>
        </w:numPr>
        <w:tabs>
          <w:tab w:val="left" w:pos="360"/>
        </w:tabs>
        <w:adjustRightInd w:val="0"/>
        <w:snapToGrid w:val="0"/>
        <w:spacing w:line="360" w:lineRule="auto"/>
        <w:jc w:val="left"/>
        <w:textAlignment w:val="baseline"/>
        <w:rPr>
          <w:rFonts w:hint="eastAsia" w:ascii="仿宋" w:hAnsi="仿宋" w:eastAsia="仿宋" w:cs="仿宋"/>
          <w:color w:val="auto"/>
          <w:spacing w:val="4"/>
          <w:sz w:val="24"/>
          <w:highlight w:val="none"/>
        </w:rPr>
      </w:pPr>
    </w:p>
    <w:p>
      <w:pPr>
        <w:pStyle w:val="66"/>
        <w:widowControl/>
        <w:numPr>
          <w:ilvl w:val="0"/>
          <w:numId w:val="0"/>
        </w:numPr>
        <w:tabs>
          <w:tab w:val="left" w:pos="360"/>
        </w:tabs>
        <w:adjustRightInd w:val="0"/>
        <w:snapToGrid w:val="0"/>
        <w:spacing w:line="360" w:lineRule="auto"/>
        <w:jc w:val="left"/>
        <w:textAlignment w:val="baseline"/>
        <w:rPr>
          <w:rFonts w:hint="eastAsia" w:ascii="仿宋" w:hAnsi="仿宋" w:eastAsia="仿宋" w:cs="仿宋"/>
          <w:color w:val="auto"/>
          <w:spacing w:val="4"/>
          <w:sz w:val="24"/>
          <w:highlight w:val="none"/>
        </w:rPr>
      </w:pPr>
    </w:p>
    <w:p>
      <w:pPr>
        <w:snapToGrid w:val="0"/>
        <w:spacing w:line="360" w:lineRule="auto"/>
        <w:rPr>
          <w:rFonts w:hint="default" w:ascii="仿宋" w:hAnsi="仿宋" w:eastAsia="仿宋" w:cs="仿宋"/>
          <w:color w:val="auto"/>
          <w:spacing w:val="4"/>
          <w:sz w:val="24"/>
          <w:highlight w:val="none"/>
          <w:u w:val="single"/>
          <w:lang w:val="en-US" w:eastAsia="zh-CN"/>
        </w:rPr>
      </w:pPr>
      <w:r>
        <w:rPr>
          <w:rFonts w:hint="eastAsia" w:ascii="仿宋" w:hAnsi="仿宋" w:eastAsia="仿宋" w:cs="仿宋"/>
          <w:color w:val="auto"/>
          <w:spacing w:val="4"/>
          <w:sz w:val="24"/>
          <w:highlight w:val="none"/>
          <w:lang w:eastAsia="zh-CN"/>
        </w:rPr>
        <w:t>比选供应商</w:t>
      </w:r>
      <w:r>
        <w:rPr>
          <w:rFonts w:hint="eastAsia" w:ascii="仿宋" w:hAnsi="仿宋" w:eastAsia="仿宋" w:cs="仿宋"/>
          <w:color w:val="auto"/>
          <w:spacing w:val="4"/>
          <w:sz w:val="24"/>
          <w:highlight w:val="none"/>
        </w:rPr>
        <w:t>名称（签章）：</w:t>
      </w:r>
      <w:r>
        <w:rPr>
          <w:rFonts w:hint="eastAsia" w:ascii="仿宋" w:hAnsi="仿宋" w:eastAsia="仿宋" w:cs="仿宋"/>
          <w:color w:val="auto"/>
          <w:spacing w:val="4"/>
          <w:sz w:val="24"/>
          <w:highlight w:val="none"/>
          <w:u w:val="single"/>
          <w:lang w:val="en-US" w:eastAsia="zh-CN"/>
        </w:rPr>
        <w:t xml:space="preserve">                       </w:t>
      </w:r>
    </w:p>
    <w:p>
      <w:pPr>
        <w:snapToGrid w:val="0"/>
        <w:spacing w:line="360" w:lineRule="auto"/>
        <w:rPr>
          <w:rFonts w:hint="default" w:ascii="仿宋" w:hAnsi="仿宋" w:eastAsia="仿宋" w:cs="仿宋"/>
          <w:color w:val="auto"/>
          <w:spacing w:val="4"/>
          <w:sz w:val="24"/>
          <w:highlight w:val="none"/>
          <w:u w:val="single"/>
          <w:lang w:val="en-US" w:eastAsia="zh-CN"/>
        </w:rPr>
      </w:pPr>
      <w:r>
        <w:rPr>
          <w:rFonts w:hint="eastAsia" w:ascii="仿宋" w:hAnsi="仿宋" w:eastAsia="仿宋" w:cs="仿宋"/>
          <w:color w:val="auto"/>
          <w:spacing w:val="4"/>
          <w:sz w:val="24"/>
          <w:highlight w:val="none"/>
        </w:rPr>
        <w:t>日期：</w:t>
      </w:r>
      <w:r>
        <w:rPr>
          <w:rFonts w:hint="eastAsia" w:ascii="仿宋" w:hAnsi="仿宋" w:eastAsia="仿宋" w:cs="仿宋"/>
          <w:color w:val="auto"/>
          <w:spacing w:val="4"/>
          <w:sz w:val="24"/>
          <w:highlight w:val="none"/>
          <w:u w:val="single"/>
          <w:lang w:val="en-US" w:eastAsia="zh-CN"/>
        </w:rPr>
        <w:t xml:space="preserve">                    </w:t>
      </w:r>
    </w:p>
    <w:p>
      <w:pPr>
        <w:pStyle w:val="11"/>
        <w:numPr>
          <w:ilvl w:val="0"/>
          <w:numId w:val="0"/>
        </w:num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82"/>
        <w:ind w:firstLine="480"/>
        <w:rPr>
          <w:color w:val="auto"/>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0" w:num="1"/>
          <w:rtlGutter w:val="0"/>
          <w:docGrid w:type="linesAndChars" w:linePitch="319" w:charSpace="640"/>
        </w:sect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8"/>
          <w:szCs w:val="28"/>
          <w:lang w:val="en-US" w:eastAsia="zh-CN" w:bidi="ar-SA"/>
        </w:rPr>
        <w:t xml:space="preserve">格式十四： </w:t>
      </w:r>
    </w:p>
    <w:p>
      <w:pPr>
        <w:pStyle w:val="82"/>
        <w:ind w:firstLine="480"/>
        <w:rPr>
          <w:color w:val="auto"/>
        </w:rPr>
      </w:pPr>
    </w:p>
    <w:p>
      <w:pPr>
        <w:pStyle w:val="82"/>
        <w:ind w:firstLine="480"/>
        <w:rPr>
          <w:color w:val="auto"/>
        </w:rPr>
      </w:pPr>
    </w:p>
    <w:p>
      <w:pPr>
        <w:pStyle w:val="82"/>
        <w:ind w:firstLine="480"/>
        <w:rPr>
          <w:rFonts w:hint="eastAsia" w:ascii="仿宋" w:hAnsi="仿宋" w:eastAsia="仿宋" w:cs="仿宋"/>
          <w:color w:val="auto"/>
        </w:rPr>
      </w:pPr>
      <w:r>
        <w:rPr>
          <w:rFonts w:hint="eastAsia" w:ascii="仿宋" w:hAnsi="仿宋" w:eastAsia="仿宋" w:cs="仿宋"/>
          <w:color w:val="auto"/>
        </w:rPr>
        <w:t>（以下格式文件由供应商根据需要选用）</w:t>
      </w:r>
    </w:p>
    <w:p>
      <w:pPr>
        <w:pStyle w:val="82"/>
        <w:jc w:val="center"/>
        <w:outlineLvl w:val="3"/>
        <w:rPr>
          <w:b/>
          <w:color w:val="auto"/>
          <w:sz w:val="24"/>
        </w:rPr>
      </w:pPr>
    </w:p>
    <w:p>
      <w:pPr>
        <w:pStyle w:val="82"/>
        <w:jc w:val="center"/>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询问函、质疑函、投诉书格式</w:t>
      </w:r>
    </w:p>
    <w:p>
      <w:pPr>
        <w:pStyle w:val="82"/>
        <w:ind w:firstLine="480"/>
        <w:rPr>
          <w:rFonts w:hint="eastAsia" w:ascii="仿宋" w:hAnsi="仿宋" w:eastAsia="仿宋" w:cs="仿宋"/>
          <w:color w:val="auto"/>
          <w:sz w:val="24"/>
          <w:szCs w:val="24"/>
        </w:rPr>
      </w:pPr>
      <w:r>
        <w:rPr>
          <w:rFonts w:hint="eastAsia" w:ascii="仿宋" w:hAnsi="仿宋" w:eastAsia="仿宋" w:cs="仿宋"/>
          <w:color w:val="auto"/>
          <w:sz w:val="24"/>
          <w:szCs w:val="24"/>
        </w:rPr>
        <w:t>说明：本部分格式为</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提交询问函、质疑函、投诉函时使用，不属于</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文件格式的组成部分。</w:t>
      </w:r>
    </w:p>
    <w:p>
      <w:pPr>
        <w:pStyle w:val="82"/>
        <w:jc w:val="center"/>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询问函</w:t>
      </w:r>
    </w:p>
    <w:p>
      <w:pPr>
        <w:pStyle w:val="82"/>
        <w:keepNext w:val="0"/>
        <w:keepLines w:val="0"/>
        <w:pageBreakBefore w:val="0"/>
        <w:widowControl/>
        <w:kinsoku/>
        <w:wordWrap/>
        <w:overflowPunct/>
        <w:topLinePunct w:val="0"/>
        <w:autoSpaceDE/>
        <w:autoSpaceDN/>
        <w:bidi w:val="0"/>
        <w:adjustRightInd/>
        <w:snapToGrid/>
        <w:ind w:firstLine="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XXX:</w:t>
      </w:r>
    </w:p>
    <w:p>
      <w:pPr>
        <w:pStyle w:val="82"/>
        <w:ind w:firstLine="480"/>
        <w:rPr>
          <w:rFonts w:hint="eastAsia" w:ascii="仿宋" w:hAnsi="仿宋" w:eastAsia="仿宋" w:cs="仿宋"/>
          <w:color w:val="auto"/>
          <w:sz w:val="24"/>
          <w:szCs w:val="24"/>
        </w:rPr>
      </w:pPr>
      <w:r>
        <w:rPr>
          <w:rFonts w:hint="eastAsia" w:ascii="仿宋" w:hAnsi="仿宋" w:eastAsia="仿宋" w:cs="仿宋"/>
          <w:color w:val="auto"/>
          <w:sz w:val="24"/>
          <w:szCs w:val="24"/>
        </w:rPr>
        <w:t>我单位已登记并准备参与“惠州市</w:t>
      </w:r>
      <w:r>
        <w:rPr>
          <w:rFonts w:hint="eastAsia" w:ascii="仿宋" w:hAnsi="仿宋" w:eastAsia="仿宋" w:cs="仿宋"/>
          <w:color w:val="auto"/>
          <w:sz w:val="24"/>
          <w:szCs w:val="24"/>
          <w:lang w:eastAsia="zh-CN"/>
        </w:rPr>
        <w:t>职业病防治院</w:t>
      </w:r>
      <w:r>
        <w:rPr>
          <w:rFonts w:hint="eastAsia" w:ascii="仿宋" w:hAnsi="仿宋" w:eastAsia="仿宋" w:cs="仿宋"/>
          <w:color w:val="auto"/>
          <w:sz w:val="24"/>
          <w:szCs w:val="24"/>
          <w:lang w:val="en-US" w:eastAsia="zh-CN"/>
        </w:rPr>
        <w:t>XX服</w:t>
      </w:r>
      <w:r>
        <w:rPr>
          <w:rFonts w:hint="eastAsia" w:ascii="仿宋" w:hAnsi="仿宋" w:eastAsia="仿宋" w:cs="仿宋"/>
          <w:color w:val="auto"/>
          <w:sz w:val="24"/>
          <w:szCs w:val="24"/>
        </w:rPr>
        <w:t>务项目”项目（采购项目编号：RGZZB2409 ）的</w:t>
      </w:r>
      <w:r>
        <w:rPr>
          <w:rFonts w:hint="eastAsia" w:ascii="仿宋" w:hAnsi="仿宋" w:eastAsia="仿宋" w:cs="仿宋"/>
          <w:color w:val="auto"/>
          <w:sz w:val="24"/>
          <w:szCs w:val="24"/>
          <w:lang w:eastAsia="zh-CN"/>
        </w:rPr>
        <w:t>比选</w:t>
      </w:r>
      <w:r>
        <w:rPr>
          <w:rFonts w:hint="eastAsia" w:ascii="仿宋" w:hAnsi="仿宋" w:eastAsia="仿宋" w:cs="仿宋"/>
          <w:color w:val="auto"/>
          <w:sz w:val="24"/>
          <w:szCs w:val="24"/>
        </w:rPr>
        <w:t>活动，现有以下几个内容（或条款）存在疑问（或无法理解），特提出询问。</w:t>
      </w:r>
    </w:p>
    <w:p>
      <w:pPr>
        <w:pStyle w:val="82"/>
        <w:ind w:firstLine="480"/>
        <w:rPr>
          <w:rFonts w:hint="eastAsia" w:ascii="仿宋" w:hAnsi="仿宋" w:eastAsia="仿宋" w:cs="仿宋"/>
          <w:color w:val="auto"/>
          <w:sz w:val="24"/>
          <w:szCs w:val="24"/>
        </w:rPr>
      </w:pPr>
      <w:r>
        <w:rPr>
          <w:rFonts w:hint="eastAsia" w:ascii="仿宋" w:hAnsi="仿宋" w:eastAsia="仿宋" w:cs="仿宋"/>
          <w:color w:val="auto"/>
          <w:sz w:val="24"/>
          <w:szCs w:val="24"/>
        </w:rPr>
        <w:t>一、_____________________（事项一）</w:t>
      </w:r>
    </w:p>
    <w:p>
      <w:pPr>
        <w:pStyle w:val="82"/>
        <w:ind w:firstLine="480"/>
        <w:rPr>
          <w:rFonts w:hint="eastAsia" w:ascii="仿宋" w:hAnsi="仿宋" w:eastAsia="仿宋" w:cs="仿宋"/>
          <w:color w:val="auto"/>
          <w:sz w:val="24"/>
          <w:szCs w:val="24"/>
        </w:rPr>
      </w:pPr>
      <w:r>
        <w:rPr>
          <w:rFonts w:hint="eastAsia" w:ascii="仿宋" w:hAnsi="仿宋" w:eastAsia="仿宋" w:cs="仿宋"/>
          <w:color w:val="auto"/>
          <w:sz w:val="24"/>
          <w:szCs w:val="24"/>
        </w:rPr>
        <w:t>（1）____________________（问题或条款内容）</w:t>
      </w:r>
    </w:p>
    <w:p>
      <w:pPr>
        <w:pStyle w:val="82"/>
        <w:ind w:firstLine="480"/>
        <w:rPr>
          <w:rFonts w:hint="eastAsia" w:ascii="仿宋" w:hAnsi="仿宋" w:eastAsia="仿宋" w:cs="仿宋"/>
          <w:color w:val="auto"/>
          <w:sz w:val="24"/>
          <w:szCs w:val="24"/>
        </w:rPr>
      </w:pPr>
      <w:r>
        <w:rPr>
          <w:rFonts w:hint="eastAsia" w:ascii="仿宋" w:hAnsi="仿宋" w:eastAsia="仿宋" w:cs="仿宋"/>
          <w:color w:val="auto"/>
          <w:sz w:val="24"/>
          <w:szCs w:val="24"/>
        </w:rPr>
        <w:t>（2）____________________（说明疑问或无法理解原因）</w:t>
      </w:r>
    </w:p>
    <w:p>
      <w:pPr>
        <w:pStyle w:val="82"/>
        <w:ind w:firstLine="480"/>
        <w:rPr>
          <w:rFonts w:hint="eastAsia" w:ascii="仿宋" w:hAnsi="仿宋" w:eastAsia="仿宋" w:cs="仿宋"/>
          <w:color w:val="auto"/>
          <w:sz w:val="24"/>
          <w:szCs w:val="24"/>
        </w:rPr>
      </w:pPr>
      <w:r>
        <w:rPr>
          <w:rFonts w:hint="eastAsia" w:ascii="仿宋" w:hAnsi="仿宋" w:eastAsia="仿宋" w:cs="仿宋"/>
          <w:color w:val="auto"/>
          <w:sz w:val="24"/>
          <w:szCs w:val="24"/>
        </w:rPr>
        <w:t>（3）____________________（建议）</w:t>
      </w:r>
    </w:p>
    <w:p>
      <w:pPr>
        <w:pStyle w:val="82"/>
        <w:ind w:firstLine="480"/>
        <w:rPr>
          <w:rFonts w:hint="eastAsia" w:ascii="仿宋" w:hAnsi="仿宋" w:eastAsia="仿宋" w:cs="仿宋"/>
          <w:color w:val="auto"/>
          <w:sz w:val="24"/>
          <w:szCs w:val="24"/>
        </w:rPr>
      </w:pPr>
      <w:r>
        <w:rPr>
          <w:rFonts w:hint="eastAsia" w:ascii="仿宋" w:hAnsi="仿宋" w:eastAsia="仿宋" w:cs="仿宋"/>
          <w:color w:val="auto"/>
          <w:sz w:val="24"/>
          <w:szCs w:val="24"/>
        </w:rPr>
        <w:t>二、_____________________（事项二）</w:t>
      </w:r>
    </w:p>
    <w:p>
      <w:pPr>
        <w:pStyle w:val="82"/>
        <w:ind w:firstLine="480"/>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82"/>
        <w:ind w:firstLine="480"/>
        <w:rPr>
          <w:rFonts w:hint="eastAsia" w:ascii="仿宋" w:hAnsi="仿宋" w:eastAsia="仿宋" w:cs="仿宋"/>
          <w:color w:val="auto"/>
          <w:sz w:val="24"/>
          <w:szCs w:val="24"/>
        </w:rPr>
      </w:pPr>
      <w:r>
        <w:rPr>
          <w:rFonts w:hint="eastAsia" w:ascii="仿宋" w:hAnsi="仿宋" w:eastAsia="仿宋" w:cs="仿宋"/>
          <w:color w:val="auto"/>
          <w:sz w:val="24"/>
          <w:szCs w:val="24"/>
        </w:rPr>
        <w:t>随附相关证明材料如下：（目录）</w:t>
      </w:r>
    </w:p>
    <w:p>
      <w:pPr>
        <w:pStyle w:val="82"/>
        <w:rPr>
          <w:rFonts w:hint="eastAsia" w:ascii="仿宋" w:hAnsi="仿宋" w:eastAsia="仿宋" w:cs="仿宋"/>
          <w:color w:val="auto"/>
          <w:sz w:val="24"/>
          <w:szCs w:val="24"/>
        </w:rPr>
      </w:pPr>
      <w:r>
        <w:rPr>
          <w:rFonts w:hint="eastAsia" w:ascii="仿宋" w:hAnsi="仿宋" w:eastAsia="仿宋" w:cs="仿宋"/>
          <w:color w:val="auto"/>
          <w:sz w:val="24"/>
          <w:szCs w:val="24"/>
        </w:rPr>
        <w:t>询问人（公章）：_____________________</w:t>
      </w:r>
    </w:p>
    <w:p>
      <w:pPr>
        <w:pStyle w:val="82"/>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法定代表人或授权代表（签字或盖章）：_____________________</w:t>
      </w:r>
    </w:p>
    <w:p>
      <w:pPr>
        <w:pStyle w:val="82"/>
        <w:rPr>
          <w:rFonts w:hint="eastAsia" w:ascii="仿宋" w:hAnsi="仿宋" w:eastAsia="仿宋" w:cs="仿宋"/>
          <w:color w:val="auto"/>
          <w:sz w:val="24"/>
          <w:szCs w:val="24"/>
        </w:rPr>
      </w:pPr>
      <w:r>
        <w:rPr>
          <w:rFonts w:hint="eastAsia" w:ascii="仿宋" w:hAnsi="仿宋" w:eastAsia="仿宋" w:cs="仿宋"/>
          <w:color w:val="auto"/>
          <w:sz w:val="24"/>
          <w:szCs w:val="24"/>
        </w:rPr>
        <w:t>地址/邮编：_____________________</w:t>
      </w:r>
    </w:p>
    <w:p>
      <w:pPr>
        <w:pStyle w:val="82"/>
        <w:rPr>
          <w:rFonts w:hint="eastAsia" w:ascii="仿宋" w:hAnsi="仿宋" w:eastAsia="仿宋" w:cs="仿宋"/>
          <w:color w:val="auto"/>
          <w:sz w:val="24"/>
          <w:szCs w:val="24"/>
        </w:rPr>
      </w:pPr>
      <w:r>
        <w:rPr>
          <w:rFonts w:hint="eastAsia" w:ascii="仿宋" w:hAnsi="仿宋" w:eastAsia="仿宋" w:cs="仿宋"/>
          <w:color w:val="auto"/>
          <w:sz w:val="24"/>
          <w:szCs w:val="24"/>
        </w:rPr>
        <w:t>电话/传真：_____________________</w:t>
      </w:r>
    </w:p>
    <w:p>
      <w:pPr>
        <w:pStyle w:val="82"/>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pPr>
        <w:pStyle w:val="82"/>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质疑函</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一、质疑供应商基本信息</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质疑供应商：</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地址：_____________________邮编：_____________________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联系：_____________________联系电话：_____________________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地址：_____________________邮编：_____________________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二、质疑项目基本情况</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质疑项目的名称：_____________________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质疑项目的编号：_____________________ 包号：_____________________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采购人名称：_____________________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采购文件获取日期：_____________________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三、质疑事项具体内容</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质疑事项1：_____________________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事实依据：_____________________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法律依据：_____________________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质疑事项2：_____________________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四、与质疑事项相关的质疑请求</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请求：__________________________________________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签字(签章)：_____________________ 公章：_____________________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质疑函制作说明：</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1.供应商提出质疑时，应提交质疑函和必要的证明材料。</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3.质疑供应商若对项目的某一分包进行质疑，质疑函中应列明具体采购包号。</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4.质疑函的质疑事项应具体、明确，并有必要的事实依据和法律依据。</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5.质疑函的质疑请求应与质疑事项相关。</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6.质疑供应商为自然人的，质疑函应由本人签字；质疑供应商为法人或者其他组织的，质疑函应由法定代表人、主要负责人，或者其授权代表签字或者盖章，并加盖公章。</w:t>
      </w:r>
    </w:p>
    <w:p>
      <w:pPr>
        <w:pStyle w:val="82"/>
        <w:ind w:firstLine="480"/>
        <w:rPr>
          <w:color w:val="auto"/>
        </w:rPr>
      </w:pPr>
      <w:r>
        <w:rPr>
          <w:color w:val="auto"/>
        </w:rPr>
        <w:t xml:space="preserve">  </w:t>
      </w: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p>
    <w:p>
      <w:pPr>
        <w:pStyle w:val="82"/>
        <w:jc w:val="center"/>
        <w:outlineLvl w:val="3"/>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投诉书</w:t>
      </w:r>
    </w:p>
    <w:p>
      <w:pPr>
        <w:pStyle w:val="82"/>
        <w:keepNext w:val="0"/>
        <w:keepLines w:val="0"/>
        <w:pageBreakBefore w:val="0"/>
        <w:widowControl/>
        <w:kinsoku/>
        <w:wordWrap/>
        <w:overflowPunct/>
        <w:topLinePunct w:val="0"/>
        <w:autoSpaceDE/>
        <w:autoSpaceDN/>
        <w:bidi w:val="0"/>
        <w:adjustRightInd/>
        <w:snapToGrid/>
        <w:spacing w:line="440" w:lineRule="exact"/>
        <w:ind w:firstLine="56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8"/>
          <w:szCs w:val="28"/>
        </w:rPr>
        <w:t xml:space="preserve"> </w:t>
      </w:r>
      <w:r>
        <w:rPr>
          <w:rFonts w:hint="eastAsia" w:ascii="仿宋" w:hAnsi="仿宋" w:eastAsia="仿宋" w:cs="仿宋"/>
          <w:color w:val="auto"/>
          <w:sz w:val="24"/>
          <w:szCs w:val="24"/>
        </w:rPr>
        <w:t>一、投诉相关主体基本情况</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投诉人：____________________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 址：____________________邮编：____________________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法定代表人/主要负责人：____________________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联系电话：____________________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授权代表：____________________联系电话：____________________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 址：____________________邮编：____________________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被投诉人1：____________________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地址：____________________邮编：____________________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联系人：____________________联系电话：____________________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被投诉人2：____________________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相关供应商：_____________________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地址：____________________邮编：____________________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联系人：____________________联系电话：____________________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二、投诉项目基本情况</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采购项目名称：____________________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采购项目编号： ____________________包号：____________________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采购人名称：____________________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代理机构名称：____________________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采购文件公告:</w:t>
      </w:r>
      <w:r>
        <w:rPr>
          <w:rFonts w:hint="eastAsia" w:ascii="仿宋" w:hAnsi="仿宋" w:eastAsia="仿宋" w:cs="仿宋"/>
          <w:color w:val="auto"/>
          <w:sz w:val="24"/>
          <w:szCs w:val="24"/>
          <w:u w:val="single"/>
        </w:rPr>
        <w:t>是/否</w:t>
      </w:r>
      <w:r>
        <w:rPr>
          <w:rFonts w:hint="eastAsia" w:ascii="仿宋" w:hAnsi="仿宋" w:eastAsia="仿宋" w:cs="仿宋"/>
          <w:color w:val="auto"/>
          <w:sz w:val="24"/>
          <w:szCs w:val="24"/>
        </w:rPr>
        <w:t xml:space="preserve"> 公告期限：_____________________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采购结果公告:</w:t>
      </w:r>
      <w:r>
        <w:rPr>
          <w:rFonts w:hint="eastAsia" w:ascii="仿宋" w:hAnsi="仿宋" w:eastAsia="仿宋" w:cs="仿宋"/>
          <w:color w:val="auto"/>
          <w:sz w:val="24"/>
          <w:szCs w:val="24"/>
          <w:u w:val="single"/>
        </w:rPr>
        <w:t>是/否</w:t>
      </w:r>
      <w:r>
        <w:rPr>
          <w:rFonts w:hint="eastAsia" w:ascii="仿宋" w:hAnsi="仿宋" w:eastAsia="仿宋" w:cs="仿宋"/>
          <w:color w:val="auto"/>
          <w:sz w:val="24"/>
          <w:szCs w:val="24"/>
        </w:rPr>
        <w:t xml:space="preserve"> 公告期限：_____________________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三、质疑基本情况</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投诉人于 ____年____月____日,向提出质疑，质疑事项为：_____________________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采购人/代理机构</w:t>
      </w:r>
      <w:r>
        <w:rPr>
          <w:rFonts w:hint="eastAsia" w:ascii="仿宋" w:hAnsi="仿宋" w:eastAsia="仿宋" w:cs="仿宋"/>
          <w:color w:val="auto"/>
          <w:sz w:val="24"/>
          <w:szCs w:val="24"/>
        </w:rPr>
        <w:t>于____年____月____日,就质疑事项作出了答复/没有在法定期限内作出答复。</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四、投诉事项具体内容</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投诉事项 1：_____________________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事实依据：_____________________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法律依据：_____________________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投诉事项2：_____________________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五、与投诉事项相关的投诉请求</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请求：________________________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签字(签章)： ________公章________</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日期：____年____月____日</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投诉书制作说明：</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1.投诉人提起投诉时，应当提交投诉书和必要的证明材料，并按照被投诉人和与投诉事项有关的供应商数量提供投诉书副本。</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3.投诉人若对项目的某一分包进行投诉，投诉书应列明具体分包号。</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4.投诉书应简要列明质疑事项，质疑函、质疑答复等作为附件材料提供。</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5.投诉书的投诉事项应具体、明确，并有必要的事实依据和法律依据。</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6.投诉书的投诉请求应与投诉事项相关。</w:t>
      </w:r>
    </w:p>
    <w:p>
      <w:pPr>
        <w:pStyle w:val="82"/>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7.投诉人为自然人的，投诉书应当由本人签字；投诉人为法人或者其他组织的，投诉书应当由法定代表人、主要负责人，或者其授权代表签字或者盖章，并加盖公章。</w:t>
      </w:r>
    </w:p>
    <w:p>
      <w:pPr>
        <w:pStyle w:val="82"/>
        <w:ind w:firstLine="480"/>
        <w:rPr>
          <w:color w:val="auto"/>
          <w:sz w:val="24"/>
          <w:szCs w:val="24"/>
        </w:rPr>
      </w:pPr>
      <w:r>
        <w:rPr>
          <w:color w:val="auto"/>
          <w:sz w:val="24"/>
          <w:szCs w:val="24"/>
        </w:rPr>
        <w:t xml:space="preserve">  </w:t>
      </w:r>
    </w:p>
    <w:p>
      <w:pPr>
        <w:rPr>
          <w:rFonts w:hint="eastAsia" w:ascii="仿宋" w:hAnsi="仿宋" w:eastAsia="仿宋" w:cs="仿宋"/>
          <w:color w:val="auto"/>
          <w:sz w:val="24"/>
        </w:rPr>
      </w:pPr>
    </w:p>
    <w:p>
      <w:pPr>
        <w:rPr>
          <w:color w:val="auto"/>
        </w:rPr>
      </w:pPr>
    </w:p>
    <w:sectPr>
      <w:pgSz w:w="11906" w:h="16838"/>
      <w:pgMar w:top="1440" w:right="1797" w:bottom="1440" w:left="1797" w:header="851" w:footer="992" w:gutter="0"/>
      <w:pgBorders>
        <w:top w:val="none" w:sz="0" w:space="0"/>
        <w:left w:val="none" w:sz="0" w:space="0"/>
        <w:bottom w:val="none" w:sz="0" w:space="0"/>
        <w:right w:val="none" w:sz="0" w:space="0"/>
      </w:pgBorders>
      <w:cols w:space="0" w:num="1"/>
      <w:rtlGutter w:val="0"/>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AE23C578-C7D8-464B-BC08-C06764AE8019}"/>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F1984C7D-699A-4CDA-8B31-FE69CF1C65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C0711"/>
    <w:multiLevelType w:val="multilevel"/>
    <w:tmpl w:val="362C0711"/>
    <w:lvl w:ilvl="0" w:tentative="0">
      <w:start w:val="1"/>
      <w:numFmt w:val="decimal"/>
      <w:lvlText w:val="%1."/>
      <w:lvlJc w:val="left"/>
      <w:pPr>
        <w:ind w:left="420" w:hanging="420"/>
      </w:pPr>
      <w:rPr>
        <w:rFonts w:hint="eastAsia" w:ascii="宋体" w:hAnsi="宋体" w:eastAsia="宋体"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4B8B4A7A"/>
    <w:multiLevelType w:val="multilevel"/>
    <w:tmpl w:val="4B8B4A7A"/>
    <w:lvl w:ilvl="0" w:tentative="0">
      <w:start w:val="1"/>
      <w:numFmt w:val="chineseCountingThousand"/>
      <w:pStyle w:val="2"/>
      <w:suff w:val="nothing"/>
      <w:lvlText w:val="第%1章"/>
      <w:lvlJc w:val="left"/>
      <w:pPr>
        <w:ind w:left="0" w:firstLine="0"/>
      </w:pPr>
      <w:rPr>
        <w:rFonts w:hint="default"/>
      </w:rPr>
    </w:lvl>
    <w:lvl w:ilvl="1" w:tentative="0">
      <w:start w:val="1"/>
      <w:numFmt w:val="decimal"/>
      <w:lvlText w:val="%2."/>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53BE6FC0"/>
    <w:multiLevelType w:val="multilevel"/>
    <w:tmpl w:val="53BE6FC0"/>
    <w:lvl w:ilvl="0" w:tentative="0">
      <w:start w:val="1"/>
      <w:numFmt w:val="decimal"/>
      <w:pStyle w:val="11"/>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pStyle w:val="73"/>
      <w:lvlText w:val="%3. "/>
      <w:lvlJc w:val="left"/>
      <w:pPr>
        <w:tabs>
          <w:tab w:val="left" w:pos="1259"/>
        </w:tabs>
        <w:ind w:left="1259" w:hanging="420"/>
      </w:pPr>
      <w:rPr>
        <w:rFonts w:hint="eastAsia"/>
      </w:rPr>
    </w:lvl>
    <w:lvl w:ilvl="3" w:tentative="0">
      <w:start w:val="1"/>
      <w:numFmt w:val="lowerLetter"/>
      <w:pStyle w:val="74"/>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3">
    <w:nsid w:val="61EB257C"/>
    <w:multiLevelType w:val="singleLevel"/>
    <w:tmpl w:val="61EB257C"/>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7"/>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NzY2YmUxOWI4ZTJiZGQxZGFmNWYzMTkxN2RlNzcifQ=="/>
  </w:docVars>
  <w:rsids>
    <w:rsidRoot w:val="00172A27"/>
    <w:rsid w:val="000026C8"/>
    <w:rsid w:val="00003DBD"/>
    <w:rsid w:val="00005416"/>
    <w:rsid w:val="00006F93"/>
    <w:rsid w:val="00020D89"/>
    <w:rsid w:val="00021D5E"/>
    <w:rsid w:val="00022784"/>
    <w:rsid w:val="00023601"/>
    <w:rsid w:val="00025F39"/>
    <w:rsid w:val="00027A8C"/>
    <w:rsid w:val="000333C0"/>
    <w:rsid w:val="00036FF0"/>
    <w:rsid w:val="00044BF5"/>
    <w:rsid w:val="0005149A"/>
    <w:rsid w:val="0005730F"/>
    <w:rsid w:val="00057901"/>
    <w:rsid w:val="0006227F"/>
    <w:rsid w:val="00062B61"/>
    <w:rsid w:val="00062CD6"/>
    <w:rsid w:val="0007081E"/>
    <w:rsid w:val="000748B9"/>
    <w:rsid w:val="00082360"/>
    <w:rsid w:val="00082A6A"/>
    <w:rsid w:val="000871FD"/>
    <w:rsid w:val="00087E4B"/>
    <w:rsid w:val="00093390"/>
    <w:rsid w:val="000938A3"/>
    <w:rsid w:val="00094966"/>
    <w:rsid w:val="0009798D"/>
    <w:rsid w:val="00097AD2"/>
    <w:rsid w:val="000A19BD"/>
    <w:rsid w:val="000A7040"/>
    <w:rsid w:val="000B04A6"/>
    <w:rsid w:val="000B2315"/>
    <w:rsid w:val="000B2DEB"/>
    <w:rsid w:val="000B4652"/>
    <w:rsid w:val="000B5AAD"/>
    <w:rsid w:val="000B5EA1"/>
    <w:rsid w:val="000B6136"/>
    <w:rsid w:val="000B7F22"/>
    <w:rsid w:val="000C5DDD"/>
    <w:rsid w:val="000D5991"/>
    <w:rsid w:val="000D6F53"/>
    <w:rsid w:val="000D7780"/>
    <w:rsid w:val="000E1D2B"/>
    <w:rsid w:val="000E2AD3"/>
    <w:rsid w:val="000E2B31"/>
    <w:rsid w:val="000E4D70"/>
    <w:rsid w:val="000E5CCA"/>
    <w:rsid w:val="000E5D57"/>
    <w:rsid w:val="000F0A99"/>
    <w:rsid w:val="000F14EC"/>
    <w:rsid w:val="000F1DDE"/>
    <w:rsid w:val="000F1E83"/>
    <w:rsid w:val="000F3B96"/>
    <w:rsid w:val="000F4290"/>
    <w:rsid w:val="000F5CEC"/>
    <w:rsid w:val="001005B9"/>
    <w:rsid w:val="00106F7F"/>
    <w:rsid w:val="00110C1A"/>
    <w:rsid w:val="001114C7"/>
    <w:rsid w:val="00112B14"/>
    <w:rsid w:val="001238EB"/>
    <w:rsid w:val="00125B68"/>
    <w:rsid w:val="00127186"/>
    <w:rsid w:val="001314B0"/>
    <w:rsid w:val="00133ECE"/>
    <w:rsid w:val="0013438A"/>
    <w:rsid w:val="001376DD"/>
    <w:rsid w:val="00137E99"/>
    <w:rsid w:val="00142FB1"/>
    <w:rsid w:val="001437D2"/>
    <w:rsid w:val="00146E8E"/>
    <w:rsid w:val="001474BE"/>
    <w:rsid w:val="00172AF3"/>
    <w:rsid w:val="001737CE"/>
    <w:rsid w:val="001751F3"/>
    <w:rsid w:val="001820E7"/>
    <w:rsid w:val="001837AD"/>
    <w:rsid w:val="0019491A"/>
    <w:rsid w:val="00196AD1"/>
    <w:rsid w:val="001A0722"/>
    <w:rsid w:val="001A4B9B"/>
    <w:rsid w:val="001A6899"/>
    <w:rsid w:val="001B041C"/>
    <w:rsid w:val="001B0982"/>
    <w:rsid w:val="001B3BD4"/>
    <w:rsid w:val="001B69A7"/>
    <w:rsid w:val="001C0382"/>
    <w:rsid w:val="001D0186"/>
    <w:rsid w:val="001D0411"/>
    <w:rsid w:val="001D1A5A"/>
    <w:rsid w:val="001D24E3"/>
    <w:rsid w:val="001D3FFB"/>
    <w:rsid w:val="001D793B"/>
    <w:rsid w:val="001E0B2D"/>
    <w:rsid w:val="001E32F7"/>
    <w:rsid w:val="001E49B0"/>
    <w:rsid w:val="001E772C"/>
    <w:rsid w:val="001F69E2"/>
    <w:rsid w:val="001F7B6B"/>
    <w:rsid w:val="002045FA"/>
    <w:rsid w:val="002074C1"/>
    <w:rsid w:val="0021069D"/>
    <w:rsid w:val="002137F7"/>
    <w:rsid w:val="00216137"/>
    <w:rsid w:val="00216591"/>
    <w:rsid w:val="00216C85"/>
    <w:rsid w:val="00220358"/>
    <w:rsid w:val="0022356C"/>
    <w:rsid w:val="0022672A"/>
    <w:rsid w:val="00226AB2"/>
    <w:rsid w:val="00227AF4"/>
    <w:rsid w:val="00230ECA"/>
    <w:rsid w:val="00233786"/>
    <w:rsid w:val="002355F5"/>
    <w:rsid w:val="00236C8E"/>
    <w:rsid w:val="00237327"/>
    <w:rsid w:val="002403B6"/>
    <w:rsid w:val="002406B5"/>
    <w:rsid w:val="00241831"/>
    <w:rsid w:val="002427D5"/>
    <w:rsid w:val="00242993"/>
    <w:rsid w:val="00243D64"/>
    <w:rsid w:val="00243F5F"/>
    <w:rsid w:val="0024582C"/>
    <w:rsid w:val="00253C43"/>
    <w:rsid w:val="0025507C"/>
    <w:rsid w:val="00255991"/>
    <w:rsid w:val="00260CC0"/>
    <w:rsid w:val="00263171"/>
    <w:rsid w:val="002719C2"/>
    <w:rsid w:val="00280763"/>
    <w:rsid w:val="00283853"/>
    <w:rsid w:val="00283D41"/>
    <w:rsid w:val="00285FFC"/>
    <w:rsid w:val="00286BB0"/>
    <w:rsid w:val="002879BA"/>
    <w:rsid w:val="0029301E"/>
    <w:rsid w:val="002A669B"/>
    <w:rsid w:val="002A7EEA"/>
    <w:rsid w:val="002B61A7"/>
    <w:rsid w:val="002B7794"/>
    <w:rsid w:val="002C37E4"/>
    <w:rsid w:val="002C7287"/>
    <w:rsid w:val="002D02C9"/>
    <w:rsid w:val="002D18BF"/>
    <w:rsid w:val="002E5FC6"/>
    <w:rsid w:val="002F1D47"/>
    <w:rsid w:val="002F48B5"/>
    <w:rsid w:val="002F6BC6"/>
    <w:rsid w:val="00305153"/>
    <w:rsid w:val="00307212"/>
    <w:rsid w:val="00311D89"/>
    <w:rsid w:val="003141C7"/>
    <w:rsid w:val="003157EA"/>
    <w:rsid w:val="00316023"/>
    <w:rsid w:val="00320454"/>
    <w:rsid w:val="0032649F"/>
    <w:rsid w:val="00334F8C"/>
    <w:rsid w:val="003362AE"/>
    <w:rsid w:val="00336A79"/>
    <w:rsid w:val="00336DF1"/>
    <w:rsid w:val="003425BD"/>
    <w:rsid w:val="003426B5"/>
    <w:rsid w:val="0034284E"/>
    <w:rsid w:val="00343F0D"/>
    <w:rsid w:val="00350B44"/>
    <w:rsid w:val="00354302"/>
    <w:rsid w:val="00355294"/>
    <w:rsid w:val="00360E24"/>
    <w:rsid w:val="003632DA"/>
    <w:rsid w:val="00371275"/>
    <w:rsid w:val="0037169F"/>
    <w:rsid w:val="00373A03"/>
    <w:rsid w:val="0037489F"/>
    <w:rsid w:val="00377A9B"/>
    <w:rsid w:val="0038578B"/>
    <w:rsid w:val="00387F7A"/>
    <w:rsid w:val="00393E5A"/>
    <w:rsid w:val="00393FF1"/>
    <w:rsid w:val="003946E7"/>
    <w:rsid w:val="003961BE"/>
    <w:rsid w:val="003A07AB"/>
    <w:rsid w:val="003A12D0"/>
    <w:rsid w:val="003A2A04"/>
    <w:rsid w:val="003A2F4D"/>
    <w:rsid w:val="003A3918"/>
    <w:rsid w:val="003A41E3"/>
    <w:rsid w:val="003A6349"/>
    <w:rsid w:val="003A73C7"/>
    <w:rsid w:val="003B07F8"/>
    <w:rsid w:val="003B08EE"/>
    <w:rsid w:val="003B5ED1"/>
    <w:rsid w:val="003B6D0B"/>
    <w:rsid w:val="003B7387"/>
    <w:rsid w:val="003C25CF"/>
    <w:rsid w:val="003C3F33"/>
    <w:rsid w:val="003C5CA0"/>
    <w:rsid w:val="003C614A"/>
    <w:rsid w:val="003C7E97"/>
    <w:rsid w:val="003D1747"/>
    <w:rsid w:val="003D6BB3"/>
    <w:rsid w:val="003D7B26"/>
    <w:rsid w:val="003E6E6A"/>
    <w:rsid w:val="003E77E7"/>
    <w:rsid w:val="003F0E79"/>
    <w:rsid w:val="003F3583"/>
    <w:rsid w:val="003F5FAF"/>
    <w:rsid w:val="003F7F7B"/>
    <w:rsid w:val="00401C93"/>
    <w:rsid w:val="004027B4"/>
    <w:rsid w:val="00403B5A"/>
    <w:rsid w:val="00403D93"/>
    <w:rsid w:val="00406E8D"/>
    <w:rsid w:val="00411CA3"/>
    <w:rsid w:val="00412DDD"/>
    <w:rsid w:val="00414327"/>
    <w:rsid w:val="004144B3"/>
    <w:rsid w:val="00415C35"/>
    <w:rsid w:val="0041613E"/>
    <w:rsid w:val="004274D1"/>
    <w:rsid w:val="004315EE"/>
    <w:rsid w:val="004359BC"/>
    <w:rsid w:val="00441DCD"/>
    <w:rsid w:val="00443F3D"/>
    <w:rsid w:val="0045782A"/>
    <w:rsid w:val="004666C3"/>
    <w:rsid w:val="00467829"/>
    <w:rsid w:val="00471BD3"/>
    <w:rsid w:val="00480969"/>
    <w:rsid w:val="0048196C"/>
    <w:rsid w:val="004826A3"/>
    <w:rsid w:val="00485CDD"/>
    <w:rsid w:val="00486B00"/>
    <w:rsid w:val="0049226F"/>
    <w:rsid w:val="00492C4E"/>
    <w:rsid w:val="00493935"/>
    <w:rsid w:val="0049511B"/>
    <w:rsid w:val="00495610"/>
    <w:rsid w:val="0049680D"/>
    <w:rsid w:val="00496DA9"/>
    <w:rsid w:val="004A0A7D"/>
    <w:rsid w:val="004A214E"/>
    <w:rsid w:val="004A7EB7"/>
    <w:rsid w:val="004B43F2"/>
    <w:rsid w:val="004C1E6E"/>
    <w:rsid w:val="004C3C9B"/>
    <w:rsid w:val="004C45C9"/>
    <w:rsid w:val="004C4CB3"/>
    <w:rsid w:val="004C62EB"/>
    <w:rsid w:val="004C63FB"/>
    <w:rsid w:val="004C6CD2"/>
    <w:rsid w:val="004D0432"/>
    <w:rsid w:val="004D10AD"/>
    <w:rsid w:val="004D3C4C"/>
    <w:rsid w:val="004E08C5"/>
    <w:rsid w:val="004E0E76"/>
    <w:rsid w:val="004E138C"/>
    <w:rsid w:val="004E3EF0"/>
    <w:rsid w:val="004E4307"/>
    <w:rsid w:val="004E74A5"/>
    <w:rsid w:val="004E7A56"/>
    <w:rsid w:val="004E7A63"/>
    <w:rsid w:val="004F0824"/>
    <w:rsid w:val="004F1879"/>
    <w:rsid w:val="004F47F7"/>
    <w:rsid w:val="004F5082"/>
    <w:rsid w:val="004F6DFF"/>
    <w:rsid w:val="00501CDB"/>
    <w:rsid w:val="00501FD2"/>
    <w:rsid w:val="00502390"/>
    <w:rsid w:val="0050273E"/>
    <w:rsid w:val="00503474"/>
    <w:rsid w:val="00513257"/>
    <w:rsid w:val="00515E85"/>
    <w:rsid w:val="005230C8"/>
    <w:rsid w:val="005277B5"/>
    <w:rsid w:val="0052786C"/>
    <w:rsid w:val="00531BE7"/>
    <w:rsid w:val="0053290E"/>
    <w:rsid w:val="005438EB"/>
    <w:rsid w:val="00543F7F"/>
    <w:rsid w:val="00555153"/>
    <w:rsid w:val="00562EA0"/>
    <w:rsid w:val="00567AC1"/>
    <w:rsid w:val="00567EF2"/>
    <w:rsid w:val="00570695"/>
    <w:rsid w:val="00571494"/>
    <w:rsid w:val="0057438D"/>
    <w:rsid w:val="00575E22"/>
    <w:rsid w:val="00580212"/>
    <w:rsid w:val="005807FA"/>
    <w:rsid w:val="00581692"/>
    <w:rsid w:val="005822AD"/>
    <w:rsid w:val="00583965"/>
    <w:rsid w:val="005875B9"/>
    <w:rsid w:val="00591747"/>
    <w:rsid w:val="00595484"/>
    <w:rsid w:val="005A0585"/>
    <w:rsid w:val="005A1023"/>
    <w:rsid w:val="005A3309"/>
    <w:rsid w:val="005A333F"/>
    <w:rsid w:val="005A3650"/>
    <w:rsid w:val="005A4149"/>
    <w:rsid w:val="005A45B5"/>
    <w:rsid w:val="005A6A38"/>
    <w:rsid w:val="005A6E15"/>
    <w:rsid w:val="005A6FAC"/>
    <w:rsid w:val="005B27A4"/>
    <w:rsid w:val="005B51F7"/>
    <w:rsid w:val="005C12C4"/>
    <w:rsid w:val="005C1ABC"/>
    <w:rsid w:val="005C5E76"/>
    <w:rsid w:val="005C650A"/>
    <w:rsid w:val="005C7C98"/>
    <w:rsid w:val="005D04BA"/>
    <w:rsid w:val="005D3CB5"/>
    <w:rsid w:val="005E0AA6"/>
    <w:rsid w:val="005E7DDC"/>
    <w:rsid w:val="005F0092"/>
    <w:rsid w:val="005F03D1"/>
    <w:rsid w:val="005F3187"/>
    <w:rsid w:val="005F7C83"/>
    <w:rsid w:val="006053D9"/>
    <w:rsid w:val="00605D4A"/>
    <w:rsid w:val="00606872"/>
    <w:rsid w:val="00607AC5"/>
    <w:rsid w:val="006124D3"/>
    <w:rsid w:val="00615140"/>
    <w:rsid w:val="00617298"/>
    <w:rsid w:val="00620343"/>
    <w:rsid w:val="00620E0F"/>
    <w:rsid w:val="00625888"/>
    <w:rsid w:val="00626044"/>
    <w:rsid w:val="00634070"/>
    <w:rsid w:val="00635650"/>
    <w:rsid w:val="00641D95"/>
    <w:rsid w:val="006469A1"/>
    <w:rsid w:val="00653E6F"/>
    <w:rsid w:val="00656D7F"/>
    <w:rsid w:val="00657103"/>
    <w:rsid w:val="006603BD"/>
    <w:rsid w:val="0066266B"/>
    <w:rsid w:val="00663231"/>
    <w:rsid w:val="00670896"/>
    <w:rsid w:val="00672481"/>
    <w:rsid w:val="006759B1"/>
    <w:rsid w:val="00675BD7"/>
    <w:rsid w:val="0068262B"/>
    <w:rsid w:val="00685603"/>
    <w:rsid w:val="00693916"/>
    <w:rsid w:val="00693DC8"/>
    <w:rsid w:val="006A013F"/>
    <w:rsid w:val="006A4528"/>
    <w:rsid w:val="006A46C2"/>
    <w:rsid w:val="006A5B9F"/>
    <w:rsid w:val="006A70E7"/>
    <w:rsid w:val="006A7831"/>
    <w:rsid w:val="006B2BC0"/>
    <w:rsid w:val="006B3AE6"/>
    <w:rsid w:val="006C1722"/>
    <w:rsid w:val="006C2A82"/>
    <w:rsid w:val="006C2E21"/>
    <w:rsid w:val="006C4F4F"/>
    <w:rsid w:val="006C603C"/>
    <w:rsid w:val="006D542E"/>
    <w:rsid w:val="006D5AB4"/>
    <w:rsid w:val="006E060B"/>
    <w:rsid w:val="006E135F"/>
    <w:rsid w:val="006E27C5"/>
    <w:rsid w:val="006E5D83"/>
    <w:rsid w:val="006E66F0"/>
    <w:rsid w:val="006E7DF5"/>
    <w:rsid w:val="006F1C34"/>
    <w:rsid w:val="006F4D6C"/>
    <w:rsid w:val="006F60F3"/>
    <w:rsid w:val="006F6CE8"/>
    <w:rsid w:val="00701255"/>
    <w:rsid w:val="0070731D"/>
    <w:rsid w:val="007125B7"/>
    <w:rsid w:val="00713C45"/>
    <w:rsid w:val="007167EC"/>
    <w:rsid w:val="00721A2C"/>
    <w:rsid w:val="00723CC7"/>
    <w:rsid w:val="00730853"/>
    <w:rsid w:val="0073320D"/>
    <w:rsid w:val="0073328D"/>
    <w:rsid w:val="007368BB"/>
    <w:rsid w:val="007400C1"/>
    <w:rsid w:val="0074181C"/>
    <w:rsid w:val="007418A2"/>
    <w:rsid w:val="00744377"/>
    <w:rsid w:val="00747206"/>
    <w:rsid w:val="00747926"/>
    <w:rsid w:val="007533F4"/>
    <w:rsid w:val="00757716"/>
    <w:rsid w:val="007577C2"/>
    <w:rsid w:val="0076415C"/>
    <w:rsid w:val="007649BC"/>
    <w:rsid w:val="00764A44"/>
    <w:rsid w:val="00764DFD"/>
    <w:rsid w:val="0076519C"/>
    <w:rsid w:val="00770051"/>
    <w:rsid w:val="00772347"/>
    <w:rsid w:val="0077674D"/>
    <w:rsid w:val="00777B39"/>
    <w:rsid w:val="00791B58"/>
    <w:rsid w:val="00793044"/>
    <w:rsid w:val="0079531D"/>
    <w:rsid w:val="007A3AB0"/>
    <w:rsid w:val="007A6CB1"/>
    <w:rsid w:val="007A70A8"/>
    <w:rsid w:val="007B688C"/>
    <w:rsid w:val="007B752E"/>
    <w:rsid w:val="007C118B"/>
    <w:rsid w:val="007C3A17"/>
    <w:rsid w:val="007C3F7E"/>
    <w:rsid w:val="007D53CE"/>
    <w:rsid w:val="007D6F72"/>
    <w:rsid w:val="007D7BF9"/>
    <w:rsid w:val="007E0073"/>
    <w:rsid w:val="007E6287"/>
    <w:rsid w:val="007F3457"/>
    <w:rsid w:val="007F58A4"/>
    <w:rsid w:val="007F5A20"/>
    <w:rsid w:val="007F5A5F"/>
    <w:rsid w:val="007F7179"/>
    <w:rsid w:val="00801662"/>
    <w:rsid w:val="008047FC"/>
    <w:rsid w:val="008066DD"/>
    <w:rsid w:val="00811BC4"/>
    <w:rsid w:val="00811DA5"/>
    <w:rsid w:val="0081278E"/>
    <w:rsid w:val="00812EB7"/>
    <w:rsid w:val="00813AE1"/>
    <w:rsid w:val="008144F4"/>
    <w:rsid w:val="00815217"/>
    <w:rsid w:val="0082264D"/>
    <w:rsid w:val="00823298"/>
    <w:rsid w:val="00823D0F"/>
    <w:rsid w:val="00832E16"/>
    <w:rsid w:val="008344F4"/>
    <w:rsid w:val="008375D9"/>
    <w:rsid w:val="0084141E"/>
    <w:rsid w:val="00843B5D"/>
    <w:rsid w:val="008477C0"/>
    <w:rsid w:val="008515E6"/>
    <w:rsid w:val="008546C4"/>
    <w:rsid w:val="008549E9"/>
    <w:rsid w:val="008606FC"/>
    <w:rsid w:val="00873482"/>
    <w:rsid w:val="00877138"/>
    <w:rsid w:val="0087769D"/>
    <w:rsid w:val="008818D5"/>
    <w:rsid w:val="00886B4C"/>
    <w:rsid w:val="00886C59"/>
    <w:rsid w:val="00887C99"/>
    <w:rsid w:val="00895BD8"/>
    <w:rsid w:val="008966A9"/>
    <w:rsid w:val="008A0BE2"/>
    <w:rsid w:val="008A1273"/>
    <w:rsid w:val="008A580E"/>
    <w:rsid w:val="008B2DEE"/>
    <w:rsid w:val="008B2E20"/>
    <w:rsid w:val="008B3C70"/>
    <w:rsid w:val="008B4E92"/>
    <w:rsid w:val="008B5115"/>
    <w:rsid w:val="008B55D0"/>
    <w:rsid w:val="008B7AD5"/>
    <w:rsid w:val="008B7E86"/>
    <w:rsid w:val="008C5F9B"/>
    <w:rsid w:val="008C6171"/>
    <w:rsid w:val="008C7425"/>
    <w:rsid w:val="008D20CE"/>
    <w:rsid w:val="008D338D"/>
    <w:rsid w:val="008E05F2"/>
    <w:rsid w:val="008E1B12"/>
    <w:rsid w:val="008E2F23"/>
    <w:rsid w:val="008E79DF"/>
    <w:rsid w:val="008F022D"/>
    <w:rsid w:val="008F287B"/>
    <w:rsid w:val="008F3D83"/>
    <w:rsid w:val="008F6A2F"/>
    <w:rsid w:val="00901BD5"/>
    <w:rsid w:val="00904D13"/>
    <w:rsid w:val="009052C6"/>
    <w:rsid w:val="009060EC"/>
    <w:rsid w:val="009107ED"/>
    <w:rsid w:val="00914F6A"/>
    <w:rsid w:val="0091670B"/>
    <w:rsid w:val="00923F39"/>
    <w:rsid w:val="0092558A"/>
    <w:rsid w:val="00927D4D"/>
    <w:rsid w:val="00930024"/>
    <w:rsid w:val="00931E4E"/>
    <w:rsid w:val="00931F6D"/>
    <w:rsid w:val="0093354C"/>
    <w:rsid w:val="00934B32"/>
    <w:rsid w:val="00934DDA"/>
    <w:rsid w:val="00936635"/>
    <w:rsid w:val="009405B4"/>
    <w:rsid w:val="009413CD"/>
    <w:rsid w:val="009436F8"/>
    <w:rsid w:val="00944A66"/>
    <w:rsid w:val="00952B60"/>
    <w:rsid w:val="00955C45"/>
    <w:rsid w:val="00956A4B"/>
    <w:rsid w:val="00961480"/>
    <w:rsid w:val="00962317"/>
    <w:rsid w:val="00964E40"/>
    <w:rsid w:val="0096540B"/>
    <w:rsid w:val="0097230C"/>
    <w:rsid w:val="009804B7"/>
    <w:rsid w:val="009813FB"/>
    <w:rsid w:val="00981BE9"/>
    <w:rsid w:val="009821A6"/>
    <w:rsid w:val="009831B1"/>
    <w:rsid w:val="009837E0"/>
    <w:rsid w:val="00984488"/>
    <w:rsid w:val="00984DEB"/>
    <w:rsid w:val="009879FC"/>
    <w:rsid w:val="00987BAE"/>
    <w:rsid w:val="00991B2D"/>
    <w:rsid w:val="00993075"/>
    <w:rsid w:val="00995A9E"/>
    <w:rsid w:val="00996889"/>
    <w:rsid w:val="009A04AE"/>
    <w:rsid w:val="009A2502"/>
    <w:rsid w:val="009A27DE"/>
    <w:rsid w:val="009A4F0C"/>
    <w:rsid w:val="009A4F5B"/>
    <w:rsid w:val="009A778F"/>
    <w:rsid w:val="009B12D0"/>
    <w:rsid w:val="009B5739"/>
    <w:rsid w:val="009B7896"/>
    <w:rsid w:val="009D5DE8"/>
    <w:rsid w:val="009D72E1"/>
    <w:rsid w:val="009D77D4"/>
    <w:rsid w:val="009E5878"/>
    <w:rsid w:val="009F146C"/>
    <w:rsid w:val="009F154A"/>
    <w:rsid w:val="009F5603"/>
    <w:rsid w:val="009F6164"/>
    <w:rsid w:val="00A02C06"/>
    <w:rsid w:val="00A03394"/>
    <w:rsid w:val="00A05AD4"/>
    <w:rsid w:val="00A10DE3"/>
    <w:rsid w:val="00A12FA3"/>
    <w:rsid w:val="00A13399"/>
    <w:rsid w:val="00A142F9"/>
    <w:rsid w:val="00A14890"/>
    <w:rsid w:val="00A1647E"/>
    <w:rsid w:val="00A237F7"/>
    <w:rsid w:val="00A31A41"/>
    <w:rsid w:val="00A322FB"/>
    <w:rsid w:val="00A36991"/>
    <w:rsid w:val="00A423FC"/>
    <w:rsid w:val="00A43082"/>
    <w:rsid w:val="00A432F6"/>
    <w:rsid w:val="00A435A0"/>
    <w:rsid w:val="00A46730"/>
    <w:rsid w:val="00A46E9E"/>
    <w:rsid w:val="00A5028D"/>
    <w:rsid w:val="00A51532"/>
    <w:rsid w:val="00A57F1F"/>
    <w:rsid w:val="00A66BD7"/>
    <w:rsid w:val="00A712A0"/>
    <w:rsid w:val="00A712D2"/>
    <w:rsid w:val="00A72D9F"/>
    <w:rsid w:val="00A7378B"/>
    <w:rsid w:val="00A737A4"/>
    <w:rsid w:val="00A73D2E"/>
    <w:rsid w:val="00A753AE"/>
    <w:rsid w:val="00A753D5"/>
    <w:rsid w:val="00A76772"/>
    <w:rsid w:val="00A77FE6"/>
    <w:rsid w:val="00A810B6"/>
    <w:rsid w:val="00A82242"/>
    <w:rsid w:val="00A83400"/>
    <w:rsid w:val="00A844E6"/>
    <w:rsid w:val="00A86002"/>
    <w:rsid w:val="00A922CC"/>
    <w:rsid w:val="00A95553"/>
    <w:rsid w:val="00A95735"/>
    <w:rsid w:val="00AA01FA"/>
    <w:rsid w:val="00AA0CC4"/>
    <w:rsid w:val="00AB29D0"/>
    <w:rsid w:val="00AB36EA"/>
    <w:rsid w:val="00AB584C"/>
    <w:rsid w:val="00AC4D3A"/>
    <w:rsid w:val="00AC4E7A"/>
    <w:rsid w:val="00AC4F54"/>
    <w:rsid w:val="00AC7BAA"/>
    <w:rsid w:val="00AD37D6"/>
    <w:rsid w:val="00AD7675"/>
    <w:rsid w:val="00AE0487"/>
    <w:rsid w:val="00AE0FB0"/>
    <w:rsid w:val="00AE72FE"/>
    <w:rsid w:val="00AF0A7C"/>
    <w:rsid w:val="00AF167A"/>
    <w:rsid w:val="00B0089F"/>
    <w:rsid w:val="00B11B4A"/>
    <w:rsid w:val="00B20262"/>
    <w:rsid w:val="00B2311C"/>
    <w:rsid w:val="00B23C7F"/>
    <w:rsid w:val="00B24492"/>
    <w:rsid w:val="00B25029"/>
    <w:rsid w:val="00B25792"/>
    <w:rsid w:val="00B27816"/>
    <w:rsid w:val="00B31A58"/>
    <w:rsid w:val="00B324EC"/>
    <w:rsid w:val="00B3476D"/>
    <w:rsid w:val="00B354E9"/>
    <w:rsid w:val="00B4210F"/>
    <w:rsid w:val="00B44E00"/>
    <w:rsid w:val="00B456EF"/>
    <w:rsid w:val="00B500F1"/>
    <w:rsid w:val="00B5510F"/>
    <w:rsid w:val="00B55F4F"/>
    <w:rsid w:val="00B562A4"/>
    <w:rsid w:val="00B61AA8"/>
    <w:rsid w:val="00B625E8"/>
    <w:rsid w:val="00B6635B"/>
    <w:rsid w:val="00B70E67"/>
    <w:rsid w:val="00B71473"/>
    <w:rsid w:val="00B718DD"/>
    <w:rsid w:val="00B73AC4"/>
    <w:rsid w:val="00B819B1"/>
    <w:rsid w:val="00B83E2C"/>
    <w:rsid w:val="00B855B3"/>
    <w:rsid w:val="00B92AA3"/>
    <w:rsid w:val="00B94A6E"/>
    <w:rsid w:val="00B94CE8"/>
    <w:rsid w:val="00B94DE8"/>
    <w:rsid w:val="00B964BF"/>
    <w:rsid w:val="00B96799"/>
    <w:rsid w:val="00BA5879"/>
    <w:rsid w:val="00BB1A3F"/>
    <w:rsid w:val="00BB53E6"/>
    <w:rsid w:val="00BB64A1"/>
    <w:rsid w:val="00BC42A6"/>
    <w:rsid w:val="00BC5B75"/>
    <w:rsid w:val="00BC7875"/>
    <w:rsid w:val="00BD2499"/>
    <w:rsid w:val="00BD6E7C"/>
    <w:rsid w:val="00BE2DAA"/>
    <w:rsid w:val="00BE66CD"/>
    <w:rsid w:val="00BF371F"/>
    <w:rsid w:val="00BF53C4"/>
    <w:rsid w:val="00BF7FAB"/>
    <w:rsid w:val="00C021DF"/>
    <w:rsid w:val="00C02398"/>
    <w:rsid w:val="00C11A47"/>
    <w:rsid w:val="00C208A4"/>
    <w:rsid w:val="00C2401F"/>
    <w:rsid w:val="00C27633"/>
    <w:rsid w:val="00C2779B"/>
    <w:rsid w:val="00C30453"/>
    <w:rsid w:val="00C30E7E"/>
    <w:rsid w:val="00C3252C"/>
    <w:rsid w:val="00C34409"/>
    <w:rsid w:val="00C347E3"/>
    <w:rsid w:val="00C4728E"/>
    <w:rsid w:val="00C500F2"/>
    <w:rsid w:val="00C500FF"/>
    <w:rsid w:val="00C51913"/>
    <w:rsid w:val="00C53C7B"/>
    <w:rsid w:val="00C6028F"/>
    <w:rsid w:val="00C6766F"/>
    <w:rsid w:val="00C70061"/>
    <w:rsid w:val="00C74470"/>
    <w:rsid w:val="00C752E6"/>
    <w:rsid w:val="00C7751B"/>
    <w:rsid w:val="00C83272"/>
    <w:rsid w:val="00C85502"/>
    <w:rsid w:val="00C8563A"/>
    <w:rsid w:val="00C8630A"/>
    <w:rsid w:val="00C9226F"/>
    <w:rsid w:val="00C945D8"/>
    <w:rsid w:val="00CA1DFE"/>
    <w:rsid w:val="00CA4254"/>
    <w:rsid w:val="00CA4669"/>
    <w:rsid w:val="00CC162C"/>
    <w:rsid w:val="00CC1A89"/>
    <w:rsid w:val="00CC45CE"/>
    <w:rsid w:val="00CC7207"/>
    <w:rsid w:val="00CD0E5F"/>
    <w:rsid w:val="00CD1445"/>
    <w:rsid w:val="00CD410F"/>
    <w:rsid w:val="00CD4659"/>
    <w:rsid w:val="00CD57CB"/>
    <w:rsid w:val="00CD5D2E"/>
    <w:rsid w:val="00CE67DF"/>
    <w:rsid w:val="00CE7E34"/>
    <w:rsid w:val="00CF35F2"/>
    <w:rsid w:val="00CF3A2C"/>
    <w:rsid w:val="00CF412B"/>
    <w:rsid w:val="00CF56EE"/>
    <w:rsid w:val="00D00C08"/>
    <w:rsid w:val="00D03018"/>
    <w:rsid w:val="00D051B7"/>
    <w:rsid w:val="00D05CD2"/>
    <w:rsid w:val="00D100D6"/>
    <w:rsid w:val="00D10D7C"/>
    <w:rsid w:val="00D10F0E"/>
    <w:rsid w:val="00D20732"/>
    <w:rsid w:val="00D21AAB"/>
    <w:rsid w:val="00D2400F"/>
    <w:rsid w:val="00D25A6A"/>
    <w:rsid w:val="00D34853"/>
    <w:rsid w:val="00D34D0D"/>
    <w:rsid w:val="00D351D5"/>
    <w:rsid w:val="00D45337"/>
    <w:rsid w:val="00D519FD"/>
    <w:rsid w:val="00D5256D"/>
    <w:rsid w:val="00D52B7F"/>
    <w:rsid w:val="00D54027"/>
    <w:rsid w:val="00D548AE"/>
    <w:rsid w:val="00D56048"/>
    <w:rsid w:val="00D62E89"/>
    <w:rsid w:val="00D63C3D"/>
    <w:rsid w:val="00D715FE"/>
    <w:rsid w:val="00D81E86"/>
    <w:rsid w:val="00D82100"/>
    <w:rsid w:val="00D8267C"/>
    <w:rsid w:val="00D838CC"/>
    <w:rsid w:val="00D853EC"/>
    <w:rsid w:val="00D8719E"/>
    <w:rsid w:val="00D93A69"/>
    <w:rsid w:val="00D95564"/>
    <w:rsid w:val="00D97189"/>
    <w:rsid w:val="00D9777B"/>
    <w:rsid w:val="00DA140E"/>
    <w:rsid w:val="00DA6351"/>
    <w:rsid w:val="00DA7643"/>
    <w:rsid w:val="00DB1661"/>
    <w:rsid w:val="00DB2E1B"/>
    <w:rsid w:val="00DB317A"/>
    <w:rsid w:val="00DB47BD"/>
    <w:rsid w:val="00DB7F90"/>
    <w:rsid w:val="00DC58FC"/>
    <w:rsid w:val="00DC691E"/>
    <w:rsid w:val="00DE1B02"/>
    <w:rsid w:val="00DE3EE4"/>
    <w:rsid w:val="00DF0710"/>
    <w:rsid w:val="00DF0AB9"/>
    <w:rsid w:val="00DF3451"/>
    <w:rsid w:val="00E026A5"/>
    <w:rsid w:val="00E039E7"/>
    <w:rsid w:val="00E03C40"/>
    <w:rsid w:val="00E06D9C"/>
    <w:rsid w:val="00E07A5B"/>
    <w:rsid w:val="00E1281B"/>
    <w:rsid w:val="00E13605"/>
    <w:rsid w:val="00E161EB"/>
    <w:rsid w:val="00E259E5"/>
    <w:rsid w:val="00E25BE4"/>
    <w:rsid w:val="00E27128"/>
    <w:rsid w:val="00E27739"/>
    <w:rsid w:val="00E318D3"/>
    <w:rsid w:val="00E31BE3"/>
    <w:rsid w:val="00E335A4"/>
    <w:rsid w:val="00E42740"/>
    <w:rsid w:val="00E46A8D"/>
    <w:rsid w:val="00E47A9F"/>
    <w:rsid w:val="00E50ED1"/>
    <w:rsid w:val="00E52E1A"/>
    <w:rsid w:val="00E54217"/>
    <w:rsid w:val="00E553C9"/>
    <w:rsid w:val="00E5700D"/>
    <w:rsid w:val="00E63D8A"/>
    <w:rsid w:val="00E67939"/>
    <w:rsid w:val="00E70530"/>
    <w:rsid w:val="00E750FC"/>
    <w:rsid w:val="00E75B35"/>
    <w:rsid w:val="00E77760"/>
    <w:rsid w:val="00E826FB"/>
    <w:rsid w:val="00E837F0"/>
    <w:rsid w:val="00E83D0C"/>
    <w:rsid w:val="00E84040"/>
    <w:rsid w:val="00E87189"/>
    <w:rsid w:val="00E87F64"/>
    <w:rsid w:val="00E94DF2"/>
    <w:rsid w:val="00E96D89"/>
    <w:rsid w:val="00EA4CCA"/>
    <w:rsid w:val="00EA515E"/>
    <w:rsid w:val="00EB01CD"/>
    <w:rsid w:val="00EB03E9"/>
    <w:rsid w:val="00EB4FC4"/>
    <w:rsid w:val="00EB59CC"/>
    <w:rsid w:val="00EB6020"/>
    <w:rsid w:val="00EC0C25"/>
    <w:rsid w:val="00EC138A"/>
    <w:rsid w:val="00EC1A6B"/>
    <w:rsid w:val="00EC31CA"/>
    <w:rsid w:val="00EC38D8"/>
    <w:rsid w:val="00EC66C7"/>
    <w:rsid w:val="00ED242E"/>
    <w:rsid w:val="00ED745D"/>
    <w:rsid w:val="00EE094D"/>
    <w:rsid w:val="00EE2B3A"/>
    <w:rsid w:val="00EF120C"/>
    <w:rsid w:val="00EF2A01"/>
    <w:rsid w:val="00EF37E2"/>
    <w:rsid w:val="00EF462A"/>
    <w:rsid w:val="00EF58E9"/>
    <w:rsid w:val="00EF651B"/>
    <w:rsid w:val="00F00D6F"/>
    <w:rsid w:val="00F053A8"/>
    <w:rsid w:val="00F11C07"/>
    <w:rsid w:val="00F1263F"/>
    <w:rsid w:val="00F143F9"/>
    <w:rsid w:val="00F15FDF"/>
    <w:rsid w:val="00F17379"/>
    <w:rsid w:val="00F17E86"/>
    <w:rsid w:val="00F23412"/>
    <w:rsid w:val="00F25CAD"/>
    <w:rsid w:val="00F30CE4"/>
    <w:rsid w:val="00F313C5"/>
    <w:rsid w:val="00F3313F"/>
    <w:rsid w:val="00F334E1"/>
    <w:rsid w:val="00F33D15"/>
    <w:rsid w:val="00F33F33"/>
    <w:rsid w:val="00F40EBA"/>
    <w:rsid w:val="00F45759"/>
    <w:rsid w:val="00F45A6E"/>
    <w:rsid w:val="00F475B5"/>
    <w:rsid w:val="00F4792C"/>
    <w:rsid w:val="00F47F3B"/>
    <w:rsid w:val="00F52205"/>
    <w:rsid w:val="00F60589"/>
    <w:rsid w:val="00F6219E"/>
    <w:rsid w:val="00F63A50"/>
    <w:rsid w:val="00F64633"/>
    <w:rsid w:val="00F75797"/>
    <w:rsid w:val="00F80E5E"/>
    <w:rsid w:val="00F81E21"/>
    <w:rsid w:val="00F87444"/>
    <w:rsid w:val="00F90524"/>
    <w:rsid w:val="00F9219A"/>
    <w:rsid w:val="00F954D0"/>
    <w:rsid w:val="00F961DE"/>
    <w:rsid w:val="00FA028D"/>
    <w:rsid w:val="00FA0F8C"/>
    <w:rsid w:val="00FA2AA9"/>
    <w:rsid w:val="00FA43BB"/>
    <w:rsid w:val="00FA47FE"/>
    <w:rsid w:val="00FB00F5"/>
    <w:rsid w:val="00FB2AAE"/>
    <w:rsid w:val="00FB48BF"/>
    <w:rsid w:val="00FB703A"/>
    <w:rsid w:val="00FC1E7B"/>
    <w:rsid w:val="00FC3830"/>
    <w:rsid w:val="00FC4EA4"/>
    <w:rsid w:val="00FC6EC3"/>
    <w:rsid w:val="00FD25C0"/>
    <w:rsid w:val="00FD34E9"/>
    <w:rsid w:val="00FD614B"/>
    <w:rsid w:val="00FE0A81"/>
    <w:rsid w:val="00FE1EF7"/>
    <w:rsid w:val="00FE5C23"/>
    <w:rsid w:val="00FF014D"/>
    <w:rsid w:val="00FF07A2"/>
    <w:rsid w:val="00FF0A77"/>
    <w:rsid w:val="00FF20C4"/>
    <w:rsid w:val="00FF4681"/>
    <w:rsid w:val="0102632F"/>
    <w:rsid w:val="0111642D"/>
    <w:rsid w:val="01360CC9"/>
    <w:rsid w:val="01436105"/>
    <w:rsid w:val="0146153A"/>
    <w:rsid w:val="014F6641"/>
    <w:rsid w:val="01600644"/>
    <w:rsid w:val="01702A1E"/>
    <w:rsid w:val="01786BED"/>
    <w:rsid w:val="017E77AA"/>
    <w:rsid w:val="01861CAF"/>
    <w:rsid w:val="01920463"/>
    <w:rsid w:val="01A47971"/>
    <w:rsid w:val="01A47B4E"/>
    <w:rsid w:val="01A64E83"/>
    <w:rsid w:val="01B97F5E"/>
    <w:rsid w:val="01BE0931"/>
    <w:rsid w:val="01C0466A"/>
    <w:rsid w:val="01CC1A40"/>
    <w:rsid w:val="01D70F12"/>
    <w:rsid w:val="01D723AD"/>
    <w:rsid w:val="01E84A30"/>
    <w:rsid w:val="020023EE"/>
    <w:rsid w:val="02010484"/>
    <w:rsid w:val="021F298B"/>
    <w:rsid w:val="02204B8A"/>
    <w:rsid w:val="0222008D"/>
    <w:rsid w:val="023E56C0"/>
    <w:rsid w:val="025D2470"/>
    <w:rsid w:val="02777BFD"/>
    <w:rsid w:val="027958D4"/>
    <w:rsid w:val="0288403D"/>
    <w:rsid w:val="029F1D6B"/>
    <w:rsid w:val="02B65864"/>
    <w:rsid w:val="02B71B0E"/>
    <w:rsid w:val="02BE0161"/>
    <w:rsid w:val="02C723C6"/>
    <w:rsid w:val="02F36E91"/>
    <w:rsid w:val="03136E4F"/>
    <w:rsid w:val="031664DA"/>
    <w:rsid w:val="031A2CD8"/>
    <w:rsid w:val="03252A1E"/>
    <w:rsid w:val="03270DD8"/>
    <w:rsid w:val="032853BC"/>
    <w:rsid w:val="032F5E6F"/>
    <w:rsid w:val="03306E08"/>
    <w:rsid w:val="033A03D0"/>
    <w:rsid w:val="037709BE"/>
    <w:rsid w:val="038773BB"/>
    <w:rsid w:val="038E05F2"/>
    <w:rsid w:val="03901E9E"/>
    <w:rsid w:val="03B02721"/>
    <w:rsid w:val="03C142B6"/>
    <w:rsid w:val="03C3095A"/>
    <w:rsid w:val="03C55043"/>
    <w:rsid w:val="03CE6022"/>
    <w:rsid w:val="03D8390A"/>
    <w:rsid w:val="03DC0CCA"/>
    <w:rsid w:val="03E17F7B"/>
    <w:rsid w:val="03E93D05"/>
    <w:rsid w:val="03EE2AB4"/>
    <w:rsid w:val="04086F53"/>
    <w:rsid w:val="043863DD"/>
    <w:rsid w:val="044004C3"/>
    <w:rsid w:val="0455679A"/>
    <w:rsid w:val="045A3333"/>
    <w:rsid w:val="045D3DEB"/>
    <w:rsid w:val="047E21D9"/>
    <w:rsid w:val="04835173"/>
    <w:rsid w:val="04845ACD"/>
    <w:rsid w:val="04881B00"/>
    <w:rsid w:val="04A769A5"/>
    <w:rsid w:val="04A81037"/>
    <w:rsid w:val="04A8157D"/>
    <w:rsid w:val="04D23811"/>
    <w:rsid w:val="04D64D11"/>
    <w:rsid w:val="04FD4CA5"/>
    <w:rsid w:val="05025778"/>
    <w:rsid w:val="0504144A"/>
    <w:rsid w:val="051E4FB9"/>
    <w:rsid w:val="05304EE3"/>
    <w:rsid w:val="053E5804"/>
    <w:rsid w:val="054006FD"/>
    <w:rsid w:val="0555214E"/>
    <w:rsid w:val="055F2BCB"/>
    <w:rsid w:val="057B5C57"/>
    <w:rsid w:val="05856AD5"/>
    <w:rsid w:val="059454B6"/>
    <w:rsid w:val="05A045D0"/>
    <w:rsid w:val="05A84572"/>
    <w:rsid w:val="05AC5838"/>
    <w:rsid w:val="05AE7458"/>
    <w:rsid w:val="05B16FE4"/>
    <w:rsid w:val="05B74A61"/>
    <w:rsid w:val="05BC1DCB"/>
    <w:rsid w:val="05BC4CC4"/>
    <w:rsid w:val="05C07B0D"/>
    <w:rsid w:val="05DD246D"/>
    <w:rsid w:val="05E80E12"/>
    <w:rsid w:val="05F360DE"/>
    <w:rsid w:val="05F62F43"/>
    <w:rsid w:val="0605179F"/>
    <w:rsid w:val="06200227"/>
    <w:rsid w:val="0638326E"/>
    <w:rsid w:val="06391A36"/>
    <w:rsid w:val="064A5EDE"/>
    <w:rsid w:val="065E26AE"/>
    <w:rsid w:val="06624CC1"/>
    <w:rsid w:val="066B3B03"/>
    <w:rsid w:val="066D7CEE"/>
    <w:rsid w:val="067D4E8B"/>
    <w:rsid w:val="068602C1"/>
    <w:rsid w:val="068F62D2"/>
    <w:rsid w:val="069D4DF8"/>
    <w:rsid w:val="06A654CB"/>
    <w:rsid w:val="06AF2A8E"/>
    <w:rsid w:val="06B053B6"/>
    <w:rsid w:val="06B5558D"/>
    <w:rsid w:val="06CE2B3D"/>
    <w:rsid w:val="06D84622"/>
    <w:rsid w:val="06DC32E9"/>
    <w:rsid w:val="06DD024B"/>
    <w:rsid w:val="06E66C30"/>
    <w:rsid w:val="070E129E"/>
    <w:rsid w:val="07234F30"/>
    <w:rsid w:val="07297B3E"/>
    <w:rsid w:val="073E2523"/>
    <w:rsid w:val="074B3407"/>
    <w:rsid w:val="07532E4A"/>
    <w:rsid w:val="07567F10"/>
    <w:rsid w:val="07577399"/>
    <w:rsid w:val="075B1427"/>
    <w:rsid w:val="075B7755"/>
    <w:rsid w:val="075D7B5F"/>
    <w:rsid w:val="07602DD8"/>
    <w:rsid w:val="07665042"/>
    <w:rsid w:val="076C72BA"/>
    <w:rsid w:val="07746D9D"/>
    <w:rsid w:val="077706A0"/>
    <w:rsid w:val="07873FDB"/>
    <w:rsid w:val="078C1D6D"/>
    <w:rsid w:val="078F7C18"/>
    <w:rsid w:val="079A2962"/>
    <w:rsid w:val="07B5212E"/>
    <w:rsid w:val="07B56C5F"/>
    <w:rsid w:val="07C06A40"/>
    <w:rsid w:val="07C917FE"/>
    <w:rsid w:val="07D83414"/>
    <w:rsid w:val="07DA2F78"/>
    <w:rsid w:val="07EA784B"/>
    <w:rsid w:val="07F12515"/>
    <w:rsid w:val="07F35B49"/>
    <w:rsid w:val="07F55D68"/>
    <w:rsid w:val="08002443"/>
    <w:rsid w:val="08161CED"/>
    <w:rsid w:val="0818767C"/>
    <w:rsid w:val="081D5E60"/>
    <w:rsid w:val="082E3649"/>
    <w:rsid w:val="0845254C"/>
    <w:rsid w:val="085040FE"/>
    <w:rsid w:val="08543A14"/>
    <w:rsid w:val="085F0441"/>
    <w:rsid w:val="08730408"/>
    <w:rsid w:val="08831727"/>
    <w:rsid w:val="08855808"/>
    <w:rsid w:val="08966833"/>
    <w:rsid w:val="089D61E7"/>
    <w:rsid w:val="08AC14C1"/>
    <w:rsid w:val="08AC2C7A"/>
    <w:rsid w:val="08AE69CD"/>
    <w:rsid w:val="08BB45BC"/>
    <w:rsid w:val="08C3786B"/>
    <w:rsid w:val="08CB04FB"/>
    <w:rsid w:val="08CD0FCE"/>
    <w:rsid w:val="08D1128E"/>
    <w:rsid w:val="08FC70AE"/>
    <w:rsid w:val="092752BD"/>
    <w:rsid w:val="092F2034"/>
    <w:rsid w:val="09475E50"/>
    <w:rsid w:val="09486CA5"/>
    <w:rsid w:val="09507B23"/>
    <w:rsid w:val="095842C0"/>
    <w:rsid w:val="095C5ACD"/>
    <w:rsid w:val="096120A2"/>
    <w:rsid w:val="0979739A"/>
    <w:rsid w:val="09815FC1"/>
    <w:rsid w:val="0994405E"/>
    <w:rsid w:val="09B25D60"/>
    <w:rsid w:val="09B55A3D"/>
    <w:rsid w:val="09B74C81"/>
    <w:rsid w:val="09C10F8D"/>
    <w:rsid w:val="09C637A5"/>
    <w:rsid w:val="09CA0CE0"/>
    <w:rsid w:val="09CF23FF"/>
    <w:rsid w:val="09D11287"/>
    <w:rsid w:val="09D27E0F"/>
    <w:rsid w:val="09D75426"/>
    <w:rsid w:val="09E00043"/>
    <w:rsid w:val="09E72F0B"/>
    <w:rsid w:val="0A022D3F"/>
    <w:rsid w:val="0A0534EF"/>
    <w:rsid w:val="0A3D736E"/>
    <w:rsid w:val="0A4941EF"/>
    <w:rsid w:val="0A544CC8"/>
    <w:rsid w:val="0A8068C8"/>
    <w:rsid w:val="0A8B4C59"/>
    <w:rsid w:val="0AB60460"/>
    <w:rsid w:val="0ABE59B6"/>
    <w:rsid w:val="0ADE3978"/>
    <w:rsid w:val="0AFD0EBC"/>
    <w:rsid w:val="0B064048"/>
    <w:rsid w:val="0B0D364F"/>
    <w:rsid w:val="0B112BB9"/>
    <w:rsid w:val="0B1E4C7D"/>
    <w:rsid w:val="0B2337B6"/>
    <w:rsid w:val="0B32310B"/>
    <w:rsid w:val="0B3705F5"/>
    <w:rsid w:val="0B3D39AE"/>
    <w:rsid w:val="0B435D6F"/>
    <w:rsid w:val="0B4E7D8F"/>
    <w:rsid w:val="0B6F03E7"/>
    <w:rsid w:val="0B9B66B4"/>
    <w:rsid w:val="0BA52A8E"/>
    <w:rsid w:val="0BA666AA"/>
    <w:rsid w:val="0BCA76EA"/>
    <w:rsid w:val="0BCD2DC6"/>
    <w:rsid w:val="0BD37F85"/>
    <w:rsid w:val="0BD95BD6"/>
    <w:rsid w:val="0BE47045"/>
    <w:rsid w:val="0BF67EE8"/>
    <w:rsid w:val="0BFD7719"/>
    <w:rsid w:val="0C23480F"/>
    <w:rsid w:val="0C242CEE"/>
    <w:rsid w:val="0C252C77"/>
    <w:rsid w:val="0C347213"/>
    <w:rsid w:val="0C5A02A9"/>
    <w:rsid w:val="0C895B2B"/>
    <w:rsid w:val="0C8C24F7"/>
    <w:rsid w:val="0C8D116D"/>
    <w:rsid w:val="0C942FFD"/>
    <w:rsid w:val="0CA535B9"/>
    <w:rsid w:val="0CC025DF"/>
    <w:rsid w:val="0CC212FB"/>
    <w:rsid w:val="0CC77654"/>
    <w:rsid w:val="0CD87D21"/>
    <w:rsid w:val="0CEE4F60"/>
    <w:rsid w:val="0CF36BC6"/>
    <w:rsid w:val="0CFD24DF"/>
    <w:rsid w:val="0D2B2350"/>
    <w:rsid w:val="0D34302E"/>
    <w:rsid w:val="0D363981"/>
    <w:rsid w:val="0D4E5A0B"/>
    <w:rsid w:val="0D5410D4"/>
    <w:rsid w:val="0D6E5C96"/>
    <w:rsid w:val="0D7F5F30"/>
    <w:rsid w:val="0D824BBC"/>
    <w:rsid w:val="0DA00749"/>
    <w:rsid w:val="0DAF4501"/>
    <w:rsid w:val="0DB53CD0"/>
    <w:rsid w:val="0DBC39A1"/>
    <w:rsid w:val="0DD124B7"/>
    <w:rsid w:val="0DD86F30"/>
    <w:rsid w:val="0DE7465B"/>
    <w:rsid w:val="0DEB12FD"/>
    <w:rsid w:val="0DF34383"/>
    <w:rsid w:val="0DFA2DB0"/>
    <w:rsid w:val="0DFE7425"/>
    <w:rsid w:val="0DFF3D7B"/>
    <w:rsid w:val="0E027AFD"/>
    <w:rsid w:val="0E1327A4"/>
    <w:rsid w:val="0E2B781A"/>
    <w:rsid w:val="0E3A63BE"/>
    <w:rsid w:val="0E4E49EC"/>
    <w:rsid w:val="0E6D3935"/>
    <w:rsid w:val="0E715E49"/>
    <w:rsid w:val="0E784FC1"/>
    <w:rsid w:val="0E903CBF"/>
    <w:rsid w:val="0E914AF4"/>
    <w:rsid w:val="0E9972C0"/>
    <w:rsid w:val="0E9A4EB9"/>
    <w:rsid w:val="0EA875E5"/>
    <w:rsid w:val="0EAA055A"/>
    <w:rsid w:val="0EAD3058"/>
    <w:rsid w:val="0EBB76FA"/>
    <w:rsid w:val="0EC57F06"/>
    <w:rsid w:val="0ED14B39"/>
    <w:rsid w:val="0ED61D65"/>
    <w:rsid w:val="0EE000F6"/>
    <w:rsid w:val="0EEB1CEA"/>
    <w:rsid w:val="0F22295F"/>
    <w:rsid w:val="0F405604"/>
    <w:rsid w:val="0F596382"/>
    <w:rsid w:val="0F5D461F"/>
    <w:rsid w:val="0F89369B"/>
    <w:rsid w:val="0F8F3712"/>
    <w:rsid w:val="0F900551"/>
    <w:rsid w:val="0F9C7BC9"/>
    <w:rsid w:val="0FB0100F"/>
    <w:rsid w:val="0FB73D2F"/>
    <w:rsid w:val="0FCE661F"/>
    <w:rsid w:val="0FCF4E41"/>
    <w:rsid w:val="0FEC2FB3"/>
    <w:rsid w:val="10013C41"/>
    <w:rsid w:val="10142F30"/>
    <w:rsid w:val="10245012"/>
    <w:rsid w:val="102B18FD"/>
    <w:rsid w:val="103329F0"/>
    <w:rsid w:val="105144B3"/>
    <w:rsid w:val="106141D6"/>
    <w:rsid w:val="10677FAF"/>
    <w:rsid w:val="10817227"/>
    <w:rsid w:val="10A5490E"/>
    <w:rsid w:val="10B10371"/>
    <w:rsid w:val="10BC6136"/>
    <w:rsid w:val="10C81719"/>
    <w:rsid w:val="10CB0ABC"/>
    <w:rsid w:val="10E00EC0"/>
    <w:rsid w:val="10EE01D6"/>
    <w:rsid w:val="11020174"/>
    <w:rsid w:val="11025B35"/>
    <w:rsid w:val="11195FAC"/>
    <w:rsid w:val="112D0786"/>
    <w:rsid w:val="113676AF"/>
    <w:rsid w:val="11445413"/>
    <w:rsid w:val="114F1524"/>
    <w:rsid w:val="11627CCB"/>
    <w:rsid w:val="116E6670"/>
    <w:rsid w:val="118C0FD9"/>
    <w:rsid w:val="11924B75"/>
    <w:rsid w:val="1197736A"/>
    <w:rsid w:val="11A933AE"/>
    <w:rsid w:val="11B52E1D"/>
    <w:rsid w:val="11CC1F83"/>
    <w:rsid w:val="11CE35BB"/>
    <w:rsid w:val="11D35293"/>
    <w:rsid w:val="11F8610A"/>
    <w:rsid w:val="1202281F"/>
    <w:rsid w:val="12082B14"/>
    <w:rsid w:val="122C64D3"/>
    <w:rsid w:val="12491BA5"/>
    <w:rsid w:val="12527D3F"/>
    <w:rsid w:val="1254413A"/>
    <w:rsid w:val="126B647C"/>
    <w:rsid w:val="127936DE"/>
    <w:rsid w:val="128C3CD0"/>
    <w:rsid w:val="1290166B"/>
    <w:rsid w:val="12A74FA9"/>
    <w:rsid w:val="12B51155"/>
    <w:rsid w:val="12B87441"/>
    <w:rsid w:val="12BE5580"/>
    <w:rsid w:val="12C10A21"/>
    <w:rsid w:val="12D9175E"/>
    <w:rsid w:val="12F02484"/>
    <w:rsid w:val="12F36179"/>
    <w:rsid w:val="12F548B5"/>
    <w:rsid w:val="12FB4A33"/>
    <w:rsid w:val="130A26FC"/>
    <w:rsid w:val="130A28E9"/>
    <w:rsid w:val="13144EB8"/>
    <w:rsid w:val="13146524"/>
    <w:rsid w:val="131A6F25"/>
    <w:rsid w:val="1329427D"/>
    <w:rsid w:val="13347F5F"/>
    <w:rsid w:val="13390029"/>
    <w:rsid w:val="1347382D"/>
    <w:rsid w:val="13474301"/>
    <w:rsid w:val="13545D39"/>
    <w:rsid w:val="13714672"/>
    <w:rsid w:val="137225B3"/>
    <w:rsid w:val="13744918"/>
    <w:rsid w:val="137E3987"/>
    <w:rsid w:val="13827258"/>
    <w:rsid w:val="138B2047"/>
    <w:rsid w:val="139748B1"/>
    <w:rsid w:val="13992F0A"/>
    <w:rsid w:val="139A1DC5"/>
    <w:rsid w:val="139C54D6"/>
    <w:rsid w:val="13B50586"/>
    <w:rsid w:val="13C904E8"/>
    <w:rsid w:val="13D15990"/>
    <w:rsid w:val="13D32078"/>
    <w:rsid w:val="13EA0AB8"/>
    <w:rsid w:val="141259D8"/>
    <w:rsid w:val="141352AC"/>
    <w:rsid w:val="14340E4C"/>
    <w:rsid w:val="14450745"/>
    <w:rsid w:val="14590DD3"/>
    <w:rsid w:val="14873F5A"/>
    <w:rsid w:val="148B0641"/>
    <w:rsid w:val="14A64372"/>
    <w:rsid w:val="14A730DD"/>
    <w:rsid w:val="14A95698"/>
    <w:rsid w:val="14A970A1"/>
    <w:rsid w:val="14AF5101"/>
    <w:rsid w:val="14BB6B65"/>
    <w:rsid w:val="14C52A4A"/>
    <w:rsid w:val="14C67636"/>
    <w:rsid w:val="14C71B84"/>
    <w:rsid w:val="14E3390C"/>
    <w:rsid w:val="14EA0909"/>
    <w:rsid w:val="15003A82"/>
    <w:rsid w:val="150221EB"/>
    <w:rsid w:val="150264F1"/>
    <w:rsid w:val="15037006"/>
    <w:rsid w:val="150B30AA"/>
    <w:rsid w:val="15216369"/>
    <w:rsid w:val="15445B78"/>
    <w:rsid w:val="156764AC"/>
    <w:rsid w:val="15781BAF"/>
    <w:rsid w:val="15877957"/>
    <w:rsid w:val="158C14E9"/>
    <w:rsid w:val="159117A1"/>
    <w:rsid w:val="15BC2AB9"/>
    <w:rsid w:val="15F00DDB"/>
    <w:rsid w:val="16016B45"/>
    <w:rsid w:val="1636562F"/>
    <w:rsid w:val="163E4DFC"/>
    <w:rsid w:val="163F27DF"/>
    <w:rsid w:val="1641787B"/>
    <w:rsid w:val="16536716"/>
    <w:rsid w:val="165840B5"/>
    <w:rsid w:val="165B4E42"/>
    <w:rsid w:val="165C3D63"/>
    <w:rsid w:val="16716B52"/>
    <w:rsid w:val="168A3240"/>
    <w:rsid w:val="169A3222"/>
    <w:rsid w:val="169D7068"/>
    <w:rsid w:val="16B81A4D"/>
    <w:rsid w:val="16D022DA"/>
    <w:rsid w:val="16D4702A"/>
    <w:rsid w:val="16D92A49"/>
    <w:rsid w:val="16DE697D"/>
    <w:rsid w:val="16E4553E"/>
    <w:rsid w:val="17054FA0"/>
    <w:rsid w:val="1716576D"/>
    <w:rsid w:val="17180C70"/>
    <w:rsid w:val="1720665E"/>
    <w:rsid w:val="172A4DE7"/>
    <w:rsid w:val="174C71C5"/>
    <w:rsid w:val="1750464D"/>
    <w:rsid w:val="17700F67"/>
    <w:rsid w:val="177237AC"/>
    <w:rsid w:val="17BF5E77"/>
    <w:rsid w:val="17C23271"/>
    <w:rsid w:val="17C75525"/>
    <w:rsid w:val="17F00B8A"/>
    <w:rsid w:val="17F6764C"/>
    <w:rsid w:val="17FD40E3"/>
    <w:rsid w:val="18024B15"/>
    <w:rsid w:val="18055854"/>
    <w:rsid w:val="18104A8B"/>
    <w:rsid w:val="18197660"/>
    <w:rsid w:val="18477163"/>
    <w:rsid w:val="184D2D69"/>
    <w:rsid w:val="185F4F64"/>
    <w:rsid w:val="18602A8A"/>
    <w:rsid w:val="188646CA"/>
    <w:rsid w:val="188F4BE4"/>
    <w:rsid w:val="18985E50"/>
    <w:rsid w:val="18A047D0"/>
    <w:rsid w:val="18A55D88"/>
    <w:rsid w:val="18BA774D"/>
    <w:rsid w:val="18E84F59"/>
    <w:rsid w:val="18E90EEB"/>
    <w:rsid w:val="18F20563"/>
    <w:rsid w:val="18F92486"/>
    <w:rsid w:val="18FB212D"/>
    <w:rsid w:val="19004629"/>
    <w:rsid w:val="193E6DF5"/>
    <w:rsid w:val="19417C87"/>
    <w:rsid w:val="194334B2"/>
    <w:rsid w:val="1945003A"/>
    <w:rsid w:val="1948545D"/>
    <w:rsid w:val="195D1AAD"/>
    <w:rsid w:val="19696166"/>
    <w:rsid w:val="196F7279"/>
    <w:rsid w:val="197A35E2"/>
    <w:rsid w:val="197C084F"/>
    <w:rsid w:val="19813869"/>
    <w:rsid w:val="198430BD"/>
    <w:rsid w:val="19961D39"/>
    <w:rsid w:val="19965CC8"/>
    <w:rsid w:val="199C3CAD"/>
    <w:rsid w:val="19A846E9"/>
    <w:rsid w:val="19AB051F"/>
    <w:rsid w:val="19B00EEA"/>
    <w:rsid w:val="19C04DA8"/>
    <w:rsid w:val="19C332D1"/>
    <w:rsid w:val="19C810C5"/>
    <w:rsid w:val="19C93FF3"/>
    <w:rsid w:val="19D54E2C"/>
    <w:rsid w:val="19DC0A61"/>
    <w:rsid w:val="19DC491F"/>
    <w:rsid w:val="19F16237"/>
    <w:rsid w:val="19F530A8"/>
    <w:rsid w:val="1A041DFA"/>
    <w:rsid w:val="1A19303F"/>
    <w:rsid w:val="1A2105C3"/>
    <w:rsid w:val="1A21549B"/>
    <w:rsid w:val="1A277D03"/>
    <w:rsid w:val="1A314705"/>
    <w:rsid w:val="1A3C2513"/>
    <w:rsid w:val="1A5821B1"/>
    <w:rsid w:val="1A6979D4"/>
    <w:rsid w:val="1A712403"/>
    <w:rsid w:val="1AAC4E42"/>
    <w:rsid w:val="1AC23FF4"/>
    <w:rsid w:val="1AC32E31"/>
    <w:rsid w:val="1AC629FA"/>
    <w:rsid w:val="1AC7757D"/>
    <w:rsid w:val="1AC91FC1"/>
    <w:rsid w:val="1AD452BC"/>
    <w:rsid w:val="1ADA2FC8"/>
    <w:rsid w:val="1ADA75FA"/>
    <w:rsid w:val="1AE267C6"/>
    <w:rsid w:val="1AEE2D3E"/>
    <w:rsid w:val="1AF13750"/>
    <w:rsid w:val="1AF73D39"/>
    <w:rsid w:val="1AF916A0"/>
    <w:rsid w:val="1B20658C"/>
    <w:rsid w:val="1B2D5951"/>
    <w:rsid w:val="1B4541EE"/>
    <w:rsid w:val="1B481CDF"/>
    <w:rsid w:val="1B534527"/>
    <w:rsid w:val="1B5E32D7"/>
    <w:rsid w:val="1B8066B0"/>
    <w:rsid w:val="1B8F790E"/>
    <w:rsid w:val="1B995DAE"/>
    <w:rsid w:val="1BA24965"/>
    <w:rsid w:val="1BA75926"/>
    <w:rsid w:val="1BB83287"/>
    <w:rsid w:val="1BBB4BA7"/>
    <w:rsid w:val="1BC41EEB"/>
    <w:rsid w:val="1BD10008"/>
    <w:rsid w:val="1BD213B5"/>
    <w:rsid w:val="1BD510D7"/>
    <w:rsid w:val="1BDD5A46"/>
    <w:rsid w:val="1C0349FF"/>
    <w:rsid w:val="1C0E6215"/>
    <w:rsid w:val="1C236C52"/>
    <w:rsid w:val="1C2A6E30"/>
    <w:rsid w:val="1C362480"/>
    <w:rsid w:val="1C43143D"/>
    <w:rsid w:val="1C551FFE"/>
    <w:rsid w:val="1C6777A6"/>
    <w:rsid w:val="1C6E7533"/>
    <w:rsid w:val="1C6F341B"/>
    <w:rsid w:val="1C7477FD"/>
    <w:rsid w:val="1C8C2754"/>
    <w:rsid w:val="1C8E4C0A"/>
    <w:rsid w:val="1CAA405A"/>
    <w:rsid w:val="1CC071B2"/>
    <w:rsid w:val="1CCD534E"/>
    <w:rsid w:val="1CCE484B"/>
    <w:rsid w:val="1CE17872"/>
    <w:rsid w:val="1CE50497"/>
    <w:rsid w:val="1CF26689"/>
    <w:rsid w:val="1CF775CF"/>
    <w:rsid w:val="1D0432AA"/>
    <w:rsid w:val="1D1631C4"/>
    <w:rsid w:val="1D165BD2"/>
    <w:rsid w:val="1D342E79"/>
    <w:rsid w:val="1D407B61"/>
    <w:rsid w:val="1D4127B6"/>
    <w:rsid w:val="1D4F0D34"/>
    <w:rsid w:val="1D5232E9"/>
    <w:rsid w:val="1D6D5585"/>
    <w:rsid w:val="1D6E70D6"/>
    <w:rsid w:val="1D8315F9"/>
    <w:rsid w:val="1D8358EB"/>
    <w:rsid w:val="1D8E54F9"/>
    <w:rsid w:val="1DD24BFC"/>
    <w:rsid w:val="1DD453FB"/>
    <w:rsid w:val="1DEE7269"/>
    <w:rsid w:val="1E0D155D"/>
    <w:rsid w:val="1E2D620F"/>
    <w:rsid w:val="1E5054CA"/>
    <w:rsid w:val="1E82307F"/>
    <w:rsid w:val="1E8F4232"/>
    <w:rsid w:val="1EA119A5"/>
    <w:rsid w:val="1EA700D7"/>
    <w:rsid w:val="1EAF0D67"/>
    <w:rsid w:val="1EB1403F"/>
    <w:rsid w:val="1EC53AA4"/>
    <w:rsid w:val="1ECF3897"/>
    <w:rsid w:val="1F173186"/>
    <w:rsid w:val="1F281DCF"/>
    <w:rsid w:val="1F3470AC"/>
    <w:rsid w:val="1F4A39BB"/>
    <w:rsid w:val="1F4D6374"/>
    <w:rsid w:val="1F503F21"/>
    <w:rsid w:val="1F6948D7"/>
    <w:rsid w:val="1F6A1FBE"/>
    <w:rsid w:val="1F825F51"/>
    <w:rsid w:val="1F857EFB"/>
    <w:rsid w:val="1F917FD8"/>
    <w:rsid w:val="1FAE31FE"/>
    <w:rsid w:val="1FB74637"/>
    <w:rsid w:val="1FBD2BEF"/>
    <w:rsid w:val="1FC63C6E"/>
    <w:rsid w:val="1FC93A32"/>
    <w:rsid w:val="1FCD4396"/>
    <w:rsid w:val="1FD22143"/>
    <w:rsid w:val="1FE62114"/>
    <w:rsid w:val="201A2537"/>
    <w:rsid w:val="201B51CB"/>
    <w:rsid w:val="201E3957"/>
    <w:rsid w:val="204108C6"/>
    <w:rsid w:val="20476342"/>
    <w:rsid w:val="205E0331"/>
    <w:rsid w:val="2062262A"/>
    <w:rsid w:val="2063705E"/>
    <w:rsid w:val="20782212"/>
    <w:rsid w:val="20822C1F"/>
    <w:rsid w:val="20846A6C"/>
    <w:rsid w:val="20915ED7"/>
    <w:rsid w:val="20A01F9F"/>
    <w:rsid w:val="20E70C8C"/>
    <w:rsid w:val="20EC6894"/>
    <w:rsid w:val="21012835"/>
    <w:rsid w:val="2112407A"/>
    <w:rsid w:val="212D42F4"/>
    <w:rsid w:val="212D6022"/>
    <w:rsid w:val="213A656E"/>
    <w:rsid w:val="213B5E42"/>
    <w:rsid w:val="21414607"/>
    <w:rsid w:val="21725CE7"/>
    <w:rsid w:val="21902632"/>
    <w:rsid w:val="2194104C"/>
    <w:rsid w:val="21A02DB6"/>
    <w:rsid w:val="21B9578A"/>
    <w:rsid w:val="22082BDA"/>
    <w:rsid w:val="22145F9F"/>
    <w:rsid w:val="221817A6"/>
    <w:rsid w:val="22415B3B"/>
    <w:rsid w:val="224563CE"/>
    <w:rsid w:val="224A47E5"/>
    <w:rsid w:val="22503E0E"/>
    <w:rsid w:val="22711792"/>
    <w:rsid w:val="22820AF6"/>
    <w:rsid w:val="22902F40"/>
    <w:rsid w:val="229D5E0C"/>
    <w:rsid w:val="22A00834"/>
    <w:rsid w:val="22AC6380"/>
    <w:rsid w:val="22CC1448"/>
    <w:rsid w:val="22E90157"/>
    <w:rsid w:val="22F347B2"/>
    <w:rsid w:val="22F61530"/>
    <w:rsid w:val="23060A16"/>
    <w:rsid w:val="23076329"/>
    <w:rsid w:val="230A03BF"/>
    <w:rsid w:val="23485203"/>
    <w:rsid w:val="235E3E5A"/>
    <w:rsid w:val="236A4CDB"/>
    <w:rsid w:val="236F773F"/>
    <w:rsid w:val="237544B8"/>
    <w:rsid w:val="237A1A37"/>
    <w:rsid w:val="237B5B57"/>
    <w:rsid w:val="237B6C1C"/>
    <w:rsid w:val="237E6530"/>
    <w:rsid w:val="23897339"/>
    <w:rsid w:val="23921869"/>
    <w:rsid w:val="23A90B69"/>
    <w:rsid w:val="23B665A6"/>
    <w:rsid w:val="23CA5E16"/>
    <w:rsid w:val="23CD2CE9"/>
    <w:rsid w:val="23CE5E4B"/>
    <w:rsid w:val="23FC6FD6"/>
    <w:rsid w:val="23FE7D27"/>
    <w:rsid w:val="24033BCE"/>
    <w:rsid w:val="24046325"/>
    <w:rsid w:val="243271D2"/>
    <w:rsid w:val="24417C14"/>
    <w:rsid w:val="24524F28"/>
    <w:rsid w:val="245C4A4D"/>
    <w:rsid w:val="246E2CFD"/>
    <w:rsid w:val="247934D9"/>
    <w:rsid w:val="247C3AE8"/>
    <w:rsid w:val="24821172"/>
    <w:rsid w:val="249917FE"/>
    <w:rsid w:val="24A66F74"/>
    <w:rsid w:val="24C85C3F"/>
    <w:rsid w:val="24F61D27"/>
    <w:rsid w:val="24FD6440"/>
    <w:rsid w:val="25001316"/>
    <w:rsid w:val="252C7E33"/>
    <w:rsid w:val="2542150F"/>
    <w:rsid w:val="25434B6D"/>
    <w:rsid w:val="25461985"/>
    <w:rsid w:val="25512592"/>
    <w:rsid w:val="25592DC6"/>
    <w:rsid w:val="255F0B60"/>
    <w:rsid w:val="256A4803"/>
    <w:rsid w:val="256B4A37"/>
    <w:rsid w:val="257408F1"/>
    <w:rsid w:val="2575332C"/>
    <w:rsid w:val="25777D91"/>
    <w:rsid w:val="257E3551"/>
    <w:rsid w:val="259B1B5A"/>
    <w:rsid w:val="25B65957"/>
    <w:rsid w:val="25BF5294"/>
    <w:rsid w:val="25C60A8C"/>
    <w:rsid w:val="25D16E39"/>
    <w:rsid w:val="25E64952"/>
    <w:rsid w:val="2609257A"/>
    <w:rsid w:val="260D5B51"/>
    <w:rsid w:val="2618033A"/>
    <w:rsid w:val="263B5F44"/>
    <w:rsid w:val="264054F6"/>
    <w:rsid w:val="264D7B72"/>
    <w:rsid w:val="26583E52"/>
    <w:rsid w:val="265D18B9"/>
    <w:rsid w:val="267A11BB"/>
    <w:rsid w:val="26820FE6"/>
    <w:rsid w:val="268E7F4D"/>
    <w:rsid w:val="26911963"/>
    <w:rsid w:val="26A00320"/>
    <w:rsid w:val="26BE72FA"/>
    <w:rsid w:val="26D905D7"/>
    <w:rsid w:val="26E86837"/>
    <w:rsid w:val="26F30BCA"/>
    <w:rsid w:val="26F6294F"/>
    <w:rsid w:val="2704340F"/>
    <w:rsid w:val="270625A4"/>
    <w:rsid w:val="270F5023"/>
    <w:rsid w:val="27125FA8"/>
    <w:rsid w:val="27194CB5"/>
    <w:rsid w:val="271D6BAF"/>
    <w:rsid w:val="272146BE"/>
    <w:rsid w:val="272B1D32"/>
    <w:rsid w:val="272F51AE"/>
    <w:rsid w:val="2740686A"/>
    <w:rsid w:val="27424579"/>
    <w:rsid w:val="2751350E"/>
    <w:rsid w:val="275A5455"/>
    <w:rsid w:val="27743D5D"/>
    <w:rsid w:val="27A1542A"/>
    <w:rsid w:val="27A16204"/>
    <w:rsid w:val="27AE799F"/>
    <w:rsid w:val="27C546B8"/>
    <w:rsid w:val="27CB7955"/>
    <w:rsid w:val="27D115AD"/>
    <w:rsid w:val="27D824EE"/>
    <w:rsid w:val="27DF1E78"/>
    <w:rsid w:val="28021999"/>
    <w:rsid w:val="28147751"/>
    <w:rsid w:val="282B44F6"/>
    <w:rsid w:val="2833349B"/>
    <w:rsid w:val="283A371F"/>
    <w:rsid w:val="283D5E5E"/>
    <w:rsid w:val="28506677"/>
    <w:rsid w:val="286D0328"/>
    <w:rsid w:val="287078D9"/>
    <w:rsid w:val="287E00E9"/>
    <w:rsid w:val="287E1BD6"/>
    <w:rsid w:val="28840408"/>
    <w:rsid w:val="289107C1"/>
    <w:rsid w:val="28936446"/>
    <w:rsid w:val="289E0FB2"/>
    <w:rsid w:val="28A864B3"/>
    <w:rsid w:val="28B366D5"/>
    <w:rsid w:val="28BF0907"/>
    <w:rsid w:val="28C304E8"/>
    <w:rsid w:val="28CB6446"/>
    <w:rsid w:val="28D63020"/>
    <w:rsid w:val="28EB10B1"/>
    <w:rsid w:val="29087641"/>
    <w:rsid w:val="29323A24"/>
    <w:rsid w:val="29387017"/>
    <w:rsid w:val="294B7EDF"/>
    <w:rsid w:val="2969494F"/>
    <w:rsid w:val="297F131E"/>
    <w:rsid w:val="298D3106"/>
    <w:rsid w:val="29A23C6C"/>
    <w:rsid w:val="29AA65A8"/>
    <w:rsid w:val="29B90CC7"/>
    <w:rsid w:val="29CA4E9C"/>
    <w:rsid w:val="29D335AD"/>
    <w:rsid w:val="29D7179E"/>
    <w:rsid w:val="29E01FB7"/>
    <w:rsid w:val="29E95332"/>
    <w:rsid w:val="2A0460E7"/>
    <w:rsid w:val="2A172D9D"/>
    <w:rsid w:val="2A3738D4"/>
    <w:rsid w:val="2A3D1958"/>
    <w:rsid w:val="2A403713"/>
    <w:rsid w:val="2A6B4663"/>
    <w:rsid w:val="2A6E6574"/>
    <w:rsid w:val="2A9015B5"/>
    <w:rsid w:val="2AAE2FE0"/>
    <w:rsid w:val="2AB4531B"/>
    <w:rsid w:val="2AC96E61"/>
    <w:rsid w:val="2AD16B03"/>
    <w:rsid w:val="2AE17A5A"/>
    <w:rsid w:val="2AE67551"/>
    <w:rsid w:val="2AF56779"/>
    <w:rsid w:val="2B041741"/>
    <w:rsid w:val="2B0626A5"/>
    <w:rsid w:val="2B07769B"/>
    <w:rsid w:val="2B0C4ADB"/>
    <w:rsid w:val="2B201ABB"/>
    <w:rsid w:val="2B3C2EE3"/>
    <w:rsid w:val="2B514CD8"/>
    <w:rsid w:val="2B632B65"/>
    <w:rsid w:val="2B644C3D"/>
    <w:rsid w:val="2B665F42"/>
    <w:rsid w:val="2B673032"/>
    <w:rsid w:val="2B6736A4"/>
    <w:rsid w:val="2B6B2E28"/>
    <w:rsid w:val="2B8F538B"/>
    <w:rsid w:val="2B9E5140"/>
    <w:rsid w:val="2BAC7CEA"/>
    <w:rsid w:val="2BB63295"/>
    <w:rsid w:val="2BB9133F"/>
    <w:rsid w:val="2BBE0AB5"/>
    <w:rsid w:val="2BC84B7C"/>
    <w:rsid w:val="2BD83153"/>
    <w:rsid w:val="2BD9644F"/>
    <w:rsid w:val="2BE64D82"/>
    <w:rsid w:val="2BEB4050"/>
    <w:rsid w:val="2BEB6DE3"/>
    <w:rsid w:val="2BEF7ADE"/>
    <w:rsid w:val="2BF21263"/>
    <w:rsid w:val="2BF91366"/>
    <w:rsid w:val="2C01768D"/>
    <w:rsid w:val="2C023128"/>
    <w:rsid w:val="2C1B2C7B"/>
    <w:rsid w:val="2C1B3E93"/>
    <w:rsid w:val="2C733C9D"/>
    <w:rsid w:val="2C733D6C"/>
    <w:rsid w:val="2C824DC9"/>
    <w:rsid w:val="2C8A3F4C"/>
    <w:rsid w:val="2C975A5F"/>
    <w:rsid w:val="2C9E14C2"/>
    <w:rsid w:val="2CAD1FE0"/>
    <w:rsid w:val="2CB955A4"/>
    <w:rsid w:val="2CBB677F"/>
    <w:rsid w:val="2CDA5AA3"/>
    <w:rsid w:val="2CE64684"/>
    <w:rsid w:val="2CFA5F8B"/>
    <w:rsid w:val="2D1D3C0D"/>
    <w:rsid w:val="2D1F76A6"/>
    <w:rsid w:val="2D2155E6"/>
    <w:rsid w:val="2D24719C"/>
    <w:rsid w:val="2D27265E"/>
    <w:rsid w:val="2D364992"/>
    <w:rsid w:val="2D4039E8"/>
    <w:rsid w:val="2D437A51"/>
    <w:rsid w:val="2D5307AA"/>
    <w:rsid w:val="2D54223F"/>
    <w:rsid w:val="2D7A1D6F"/>
    <w:rsid w:val="2D936B2F"/>
    <w:rsid w:val="2D943851"/>
    <w:rsid w:val="2DA26CD1"/>
    <w:rsid w:val="2DA9329F"/>
    <w:rsid w:val="2DAA28F9"/>
    <w:rsid w:val="2DB76825"/>
    <w:rsid w:val="2DC36856"/>
    <w:rsid w:val="2DCE7635"/>
    <w:rsid w:val="2DDC71C5"/>
    <w:rsid w:val="2DE633E5"/>
    <w:rsid w:val="2DEE79E2"/>
    <w:rsid w:val="2E0226C6"/>
    <w:rsid w:val="2E026B9C"/>
    <w:rsid w:val="2E045F3A"/>
    <w:rsid w:val="2E051D0E"/>
    <w:rsid w:val="2E0770B4"/>
    <w:rsid w:val="2E185E1F"/>
    <w:rsid w:val="2E3F45FA"/>
    <w:rsid w:val="2E4303D1"/>
    <w:rsid w:val="2E473B2C"/>
    <w:rsid w:val="2E490609"/>
    <w:rsid w:val="2E584954"/>
    <w:rsid w:val="2E5B16B8"/>
    <w:rsid w:val="2E5E72E1"/>
    <w:rsid w:val="2E672107"/>
    <w:rsid w:val="2E7C01C6"/>
    <w:rsid w:val="2E815B69"/>
    <w:rsid w:val="2E84707B"/>
    <w:rsid w:val="2E8A1CDF"/>
    <w:rsid w:val="2E975000"/>
    <w:rsid w:val="2E9A0EAA"/>
    <w:rsid w:val="2EE25DFD"/>
    <w:rsid w:val="2EEE2BF6"/>
    <w:rsid w:val="2EF04710"/>
    <w:rsid w:val="2EF47418"/>
    <w:rsid w:val="2F053CC4"/>
    <w:rsid w:val="2F256F91"/>
    <w:rsid w:val="2F292451"/>
    <w:rsid w:val="2F353402"/>
    <w:rsid w:val="2F451F9E"/>
    <w:rsid w:val="2F5A22DA"/>
    <w:rsid w:val="2F6E12E0"/>
    <w:rsid w:val="2F730616"/>
    <w:rsid w:val="2FA774C5"/>
    <w:rsid w:val="2FAB079C"/>
    <w:rsid w:val="2FBB2FBB"/>
    <w:rsid w:val="2FCF25FE"/>
    <w:rsid w:val="2FED52AB"/>
    <w:rsid w:val="2FEF2B33"/>
    <w:rsid w:val="2FF8263D"/>
    <w:rsid w:val="304C4307"/>
    <w:rsid w:val="305411DB"/>
    <w:rsid w:val="305A100E"/>
    <w:rsid w:val="306457A7"/>
    <w:rsid w:val="30656A38"/>
    <w:rsid w:val="307050B3"/>
    <w:rsid w:val="30727532"/>
    <w:rsid w:val="30840E28"/>
    <w:rsid w:val="308665EE"/>
    <w:rsid w:val="30906E39"/>
    <w:rsid w:val="309471FE"/>
    <w:rsid w:val="30B348CD"/>
    <w:rsid w:val="30BD0ABD"/>
    <w:rsid w:val="30C35CB1"/>
    <w:rsid w:val="30C420E5"/>
    <w:rsid w:val="30C65F4B"/>
    <w:rsid w:val="30E26576"/>
    <w:rsid w:val="30F5607D"/>
    <w:rsid w:val="30FC77ED"/>
    <w:rsid w:val="31010E56"/>
    <w:rsid w:val="311509B8"/>
    <w:rsid w:val="31250F0D"/>
    <w:rsid w:val="312B4AB9"/>
    <w:rsid w:val="31324CCC"/>
    <w:rsid w:val="3137209B"/>
    <w:rsid w:val="313E1763"/>
    <w:rsid w:val="3163741B"/>
    <w:rsid w:val="31646663"/>
    <w:rsid w:val="31733F7B"/>
    <w:rsid w:val="31756D25"/>
    <w:rsid w:val="31802A4F"/>
    <w:rsid w:val="31837ABD"/>
    <w:rsid w:val="3189051F"/>
    <w:rsid w:val="319711CE"/>
    <w:rsid w:val="31A11CF2"/>
    <w:rsid w:val="31AC5F83"/>
    <w:rsid w:val="31B03DAD"/>
    <w:rsid w:val="31B65267"/>
    <w:rsid w:val="31BA0D5D"/>
    <w:rsid w:val="31C51434"/>
    <w:rsid w:val="31D143D5"/>
    <w:rsid w:val="31D22CC8"/>
    <w:rsid w:val="31DC6E5B"/>
    <w:rsid w:val="31E62293"/>
    <w:rsid w:val="31F44502"/>
    <w:rsid w:val="31F75DB5"/>
    <w:rsid w:val="31FB2044"/>
    <w:rsid w:val="31FF56D8"/>
    <w:rsid w:val="3207424B"/>
    <w:rsid w:val="3224144B"/>
    <w:rsid w:val="322C20DD"/>
    <w:rsid w:val="322F6335"/>
    <w:rsid w:val="32316565"/>
    <w:rsid w:val="32357A32"/>
    <w:rsid w:val="32372E3C"/>
    <w:rsid w:val="325466AE"/>
    <w:rsid w:val="32567081"/>
    <w:rsid w:val="326313BC"/>
    <w:rsid w:val="32660FC5"/>
    <w:rsid w:val="32686B23"/>
    <w:rsid w:val="326C087E"/>
    <w:rsid w:val="327F0285"/>
    <w:rsid w:val="32852606"/>
    <w:rsid w:val="32852F2F"/>
    <w:rsid w:val="32886037"/>
    <w:rsid w:val="328E5AE9"/>
    <w:rsid w:val="32981398"/>
    <w:rsid w:val="329B638D"/>
    <w:rsid w:val="32A01FA9"/>
    <w:rsid w:val="32A92D2C"/>
    <w:rsid w:val="32BD2B5B"/>
    <w:rsid w:val="32BF0677"/>
    <w:rsid w:val="32CA205B"/>
    <w:rsid w:val="32CB4FAC"/>
    <w:rsid w:val="32D912FC"/>
    <w:rsid w:val="32FD73FC"/>
    <w:rsid w:val="33027F46"/>
    <w:rsid w:val="330E6945"/>
    <w:rsid w:val="33316015"/>
    <w:rsid w:val="33343252"/>
    <w:rsid w:val="33460DA3"/>
    <w:rsid w:val="334E525C"/>
    <w:rsid w:val="335B401A"/>
    <w:rsid w:val="3360631D"/>
    <w:rsid w:val="336E20A7"/>
    <w:rsid w:val="3371124C"/>
    <w:rsid w:val="33766207"/>
    <w:rsid w:val="33815DB6"/>
    <w:rsid w:val="33871FDF"/>
    <w:rsid w:val="33916FB5"/>
    <w:rsid w:val="33941B0E"/>
    <w:rsid w:val="33983B13"/>
    <w:rsid w:val="339C6C14"/>
    <w:rsid w:val="339C6E3C"/>
    <w:rsid w:val="33C5697B"/>
    <w:rsid w:val="33CB1ED1"/>
    <w:rsid w:val="34101F09"/>
    <w:rsid w:val="342E2B27"/>
    <w:rsid w:val="344213D6"/>
    <w:rsid w:val="344E1A9B"/>
    <w:rsid w:val="345E6E5E"/>
    <w:rsid w:val="34687C5E"/>
    <w:rsid w:val="346B00A7"/>
    <w:rsid w:val="34777619"/>
    <w:rsid w:val="347A711C"/>
    <w:rsid w:val="34952B64"/>
    <w:rsid w:val="34B319D6"/>
    <w:rsid w:val="34C02056"/>
    <w:rsid w:val="34CD705B"/>
    <w:rsid w:val="34DE6D12"/>
    <w:rsid w:val="34EE596D"/>
    <w:rsid w:val="34F006DC"/>
    <w:rsid w:val="34F10270"/>
    <w:rsid w:val="34F211E2"/>
    <w:rsid w:val="35077950"/>
    <w:rsid w:val="354557D4"/>
    <w:rsid w:val="354D6802"/>
    <w:rsid w:val="35504DBB"/>
    <w:rsid w:val="35523A2F"/>
    <w:rsid w:val="35665C10"/>
    <w:rsid w:val="35715FEF"/>
    <w:rsid w:val="35731143"/>
    <w:rsid w:val="3578383B"/>
    <w:rsid w:val="357D65D2"/>
    <w:rsid w:val="35BD60CC"/>
    <w:rsid w:val="35BF4E3C"/>
    <w:rsid w:val="35C36441"/>
    <w:rsid w:val="35D12C9D"/>
    <w:rsid w:val="35D344DD"/>
    <w:rsid w:val="35DC2EB9"/>
    <w:rsid w:val="35F048FA"/>
    <w:rsid w:val="35F70B88"/>
    <w:rsid w:val="35FC7182"/>
    <w:rsid w:val="3626102A"/>
    <w:rsid w:val="362C03EF"/>
    <w:rsid w:val="36374E98"/>
    <w:rsid w:val="36376D1A"/>
    <w:rsid w:val="36441C39"/>
    <w:rsid w:val="36527A5E"/>
    <w:rsid w:val="365C642C"/>
    <w:rsid w:val="366D31C5"/>
    <w:rsid w:val="366F435B"/>
    <w:rsid w:val="36861FB0"/>
    <w:rsid w:val="36AC1AB0"/>
    <w:rsid w:val="36C013C0"/>
    <w:rsid w:val="36DF3716"/>
    <w:rsid w:val="36EF4A9D"/>
    <w:rsid w:val="36F01431"/>
    <w:rsid w:val="36FE4069"/>
    <w:rsid w:val="37092C93"/>
    <w:rsid w:val="370A20E8"/>
    <w:rsid w:val="370A5292"/>
    <w:rsid w:val="37143DAF"/>
    <w:rsid w:val="371763E3"/>
    <w:rsid w:val="372347B3"/>
    <w:rsid w:val="37292673"/>
    <w:rsid w:val="372E1A88"/>
    <w:rsid w:val="373A4558"/>
    <w:rsid w:val="373C4996"/>
    <w:rsid w:val="37410281"/>
    <w:rsid w:val="37515EC6"/>
    <w:rsid w:val="375A02D5"/>
    <w:rsid w:val="375B6AF2"/>
    <w:rsid w:val="37684573"/>
    <w:rsid w:val="3779601A"/>
    <w:rsid w:val="378F5C40"/>
    <w:rsid w:val="37910446"/>
    <w:rsid w:val="379E73FF"/>
    <w:rsid w:val="37A93E9C"/>
    <w:rsid w:val="37CB7C6F"/>
    <w:rsid w:val="37D37B44"/>
    <w:rsid w:val="37E00D3A"/>
    <w:rsid w:val="37E5578B"/>
    <w:rsid w:val="37E6628A"/>
    <w:rsid w:val="38006D5C"/>
    <w:rsid w:val="38050D5B"/>
    <w:rsid w:val="38182495"/>
    <w:rsid w:val="38194CD8"/>
    <w:rsid w:val="381C7082"/>
    <w:rsid w:val="38261E69"/>
    <w:rsid w:val="383B014F"/>
    <w:rsid w:val="383E5412"/>
    <w:rsid w:val="38504F55"/>
    <w:rsid w:val="3856717A"/>
    <w:rsid w:val="38655CB2"/>
    <w:rsid w:val="386F199C"/>
    <w:rsid w:val="38710629"/>
    <w:rsid w:val="38796AAF"/>
    <w:rsid w:val="38925AD6"/>
    <w:rsid w:val="389962AE"/>
    <w:rsid w:val="38AC5B4C"/>
    <w:rsid w:val="38B76194"/>
    <w:rsid w:val="38BE193F"/>
    <w:rsid w:val="38BF2C40"/>
    <w:rsid w:val="38BF5A96"/>
    <w:rsid w:val="38C34BB0"/>
    <w:rsid w:val="38C83A95"/>
    <w:rsid w:val="38CC7F9C"/>
    <w:rsid w:val="38D214B6"/>
    <w:rsid w:val="38D53975"/>
    <w:rsid w:val="38E350E4"/>
    <w:rsid w:val="38EB4E21"/>
    <w:rsid w:val="38EE3AEB"/>
    <w:rsid w:val="38F62A80"/>
    <w:rsid w:val="38F6689C"/>
    <w:rsid w:val="39022D86"/>
    <w:rsid w:val="39080FCD"/>
    <w:rsid w:val="391A0325"/>
    <w:rsid w:val="391C7F67"/>
    <w:rsid w:val="394376ED"/>
    <w:rsid w:val="39592DC8"/>
    <w:rsid w:val="39626404"/>
    <w:rsid w:val="39644109"/>
    <w:rsid w:val="39665F81"/>
    <w:rsid w:val="396B0138"/>
    <w:rsid w:val="396B2A3F"/>
    <w:rsid w:val="399A09D4"/>
    <w:rsid w:val="39D533A8"/>
    <w:rsid w:val="39D92C7C"/>
    <w:rsid w:val="39DD599A"/>
    <w:rsid w:val="39DF5AAD"/>
    <w:rsid w:val="3A38534F"/>
    <w:rsid w:val="3A5E07EB"/>
    <w:rsid w:val="3A5E2E76"/>
    <w:rsid w:val="3A5E5AAA"/>
    <w:rsid w:val="3A7E4E86"/>
    <w:rsid w:val="3A8E3546"/>
    <w:rsid w:val="3A983970"/>
    <w:rsid w:val="3AA479A0"/>
    <w:rsid w:val="3AA502EC"/>
    <w:rsid w:val="3ACA4067"/>
    <w:rsid w:val="3ADE7EEF"/>
    <w:rsid w:val="3AEF0F3A"/>
    <w:rsid w:val="3AFB478A"/>
    <w:rsid w:val="3AFD53D4"/>
    <w:rsid w:val="3B2F0FEA"/>
    <w:rsid w:val="3B323F4C"/>
    <w:rsid w:val="3B4C58CB"/>
    <w:rsid w:val="3B612EFA"/>
    <w:rsid w:val="3B6C52D8"/>
    <w:rsid w:val="3B7719B9"/>
    <w:rsid w:val="3B7C327B"/>
    <w:rsid w:val="3B8B0CB5"/>
    <w:rsid w:val="3B9F29DF"/>
    <w:rsid w:val="3BA646C2"/>
    <w:rsid w:val="3BAD0CB0"/>
    <w:rsid w:val="3BC557AF"/>
    <w:rsid w:val="3BD10C2F"/>
    <w:rsid w:val="3BDE1764"/>
    <w:rsid w:val="3BE16CCB"/>
    <w:rsid w:val="3BF5376E"/>
    <w:rsid w:val="3C0132A7"/>
    <w:rsid w:val="3C033A84"/>
    <w:rsid w:val="3C06413A"/>
    <w:rsid w:val="3C0C3DFB"/>
    <w:rsid w:val="3C1139B2"/>
    <w:rsid w:val="3C13079F"/>
    <w:rsid w:val="3C1E46D5"/>
    <w:rsid w:val="3C3A2BDD"/>
    <w:rsid w:val="3C437FF1"/>
    <w:rsid w:val="3C526A0A"/>
    <w:rsid w:val="3C593492"/>
    <w:rsid w:val="3C763177"/>
    <w:rsid w:val="3C8F32FB"/>
    <w:rsid w:val="3CAE2BFB"/>
    <w:rsid w:val="3CC12D47"/>
    <w:rsid w:val="3CC13DBB"/>
    <w:rsid w:val="3CC75CC4"/>
    <w:rsid w:val="3CCC28C3"/>
    <w:rsid w:val="3CDD2767"/>
    <w:rsid w:val="3CE3064F"/>
    <w:rsid w:val="3CE52B64"/>
    <w:rsid w:val="3CF90C5B"/>
    <w:rsid w:val="3CFF77C3"/>
    <w:rsid w:val="3D246119"/>
    <w:rsid w:val="3D283268"/>
    <w:rsid w:val="3D2F2C1F"/>
    <w:rsid w:val="3D3B217C"/>
    <w:rsid w:val="3D3D4588"/>
    <w:rsid w:val="3D3F6DE2"/>
    <w:rsid w:val="3D504924"/>
    <w:rsid w:val="3D581D30"/>
    <w:rsid w:val="3D5B6538"/>
    <w:rsid w:val="3D9059B5"/>
    <w:rsid w:val="3D9823E0"/>
    <w:rsid w:val="3DB156E7"/>
    <w:rsid w:val="3DB62637"/>
    <w:rsid w:val="3DB633CE"/>
    <w:rsid w:val="3DBF22CE"/>
    <w:rsid w:val="3DC33515"/>
    <w:rsid w:val="3DCC1CEF"/>
    <w:rsid w:val="3DCE324E"/>
    <w:rsid w:val="3DD15CEB"/>
    <w:rsid w:val="3DD8069F"/>
    <w:rsid w:val="3DDF0BBF"/>
    <w:rsid w:val="3DE230FA"/>
    <w:rsid w:val="3DED5AA7"/>
    <w:rsid w:val="3E133B6C"/>
    <w:rsid w:val="3E184F3D"/>
    <w:rsid w:val="3E1A2BF5"/>
    <w:rsid w:val="3E21582D"/>
    <w:rsid w:val="3E2E334D"/>
    <w:rsid w:val="3E415ED5"/>
    <w:rsid w:val="3E430A34"/>
    <w:rsid w:val="3E4E4F49"/>
    <w:rsid w:val="3E5927B4"/>
    <w:rsid w:val="3E714CC9"/>
    <w:rsid w:val="3E880E5A"/>
    <w:rsid w:val="3E8D3BE6"/>
    <w:rsid w:val="3EA00DCD"/>
    <w:rsid w:val="3EAE0D21"/>
    <w:rsid w:val="3EB7501A"/>
    <w:rsid w:val="3EF618CF"/>
    <w:rsid w:val="3EF767D8"/>
    <w:rsid w:val="3F105D0A"/>
    <w:rsid w:val="3F1204A1"/>
    <w:rsid w:val="3F145039"/>
    <w:rsid w:val="3F357163"/>
    <w:rsid w:val="3F3B0FCC"/>
    <w:rsid w:val="3F3D0E82"/>
    <w:rsid w:val="3F3D74FE"/>
    <w:rsid w:val="3F45730B"/>
    <w:rsid w:val="3F4E5A66"/>
    <w:rsid w:val="3F4F7E11"/>
    <w:rsid w:val="3F531994"/>
    <w:rsid w:val="3F576B16"/>
    <w:rsid w:val="3F5A1F84"/>
    <w:rsid w:val="3F6276B4"/>
    <w:rsid w:val="3F66240F"/>
    <w:rsid w:val="3F6D12FE"/>
    <w:rsid w:val="3F727FFA"/>
    <w:rsid w:val="3F8803BF"/>
    <w:rsid w:val="3F8F64D8"/>
    <w:rsid w:val="3FAE1B0B"/>
    <w:rsid w:val="3FB77818"/>
    <w:rsid w:val="3FD12131"/>
    <w:rsid w:val="3FF20837"/>
    <w:rsid w:val="40023A26"/>
    <w:rsid w:val="40135933"/>
    <w:rsid w:val="401F177C"/>
    <w:rsid w:val="40224B89"/>
    <w:rsid w:val="402363AA"/>
    <w:rsid w:val="40285F37"/>
    <w:rsid w:val="402D4533"/>
    <w:rsid w:val="40504B71"/>
    <w:rsid w:val="40582C5E"/>
    <w:rsid w:val="405D63EB"/>
    <w:rsid w:val="405F753D"/>
    <w:rsid w:val="40600DAE"/>
    <w:rsid w:val="408353E4"/>
    <w:rsid w:val="40955117"/>
    <w:rsid w:val="40965A05"/>
    <w:rsid w:val="40B9776D"/>
    <w:rsid w:val="40BC37E8"/>
    <w:rsid w:val="40D57CFD"/>
    <w:rsid w:val="40DC68A2"/>
    <w:rsid w:val="40E81F8C"/>
    <w:rsid w:val="40F61CDD"/>
    <w:rsid w:val="41035F8B"/>
    <w:rsid w:val="411B56FA"/>
    <w:rsid w:val="416D4949"/>
    <w:rsid w:val="419138C1"/>
    <w:rsid w:val="41B26117"/>
    <w:rsid w:val="41BB2B6D"/>
    <w:rsid w:val="41BD61B7"/>
    <w:rsid w:val="41D01EBB"/>
    <w:rsid w:val="41D06E5B"/>
    <w:rsid w:val="41D2390E"/>
    <w:rsid w:val="41E65D5A"/>
    <w:rsid w:val="41E9503A"/>
    <w:rsid w:val="41F17912"/>
    <w:rsid w:val="4204126D"/>
    <w:rsid w:val="421F0631"/>
    <w:rsid w:val="422164EF"/>
    <w:rsid w:val="4229767B"/>
    <w:rsid w:val="422D6DA0"/>
    <w:rsid w:val="42331840"/>
    <w:rsid w:val="423C15B9"/>
    <w:rsid w:val="424C124A"/>
    <w:rsid w:val="42500259"/>
    <w:rsid w:val="425126E1"/>
    <w:rsid w:val="4258410D"/>
    <w:rsid w:val="42613903"/>
    <w:rsid w:val="428F21F1"/>
    <w:rsid w:val="42A16AFE"/>
    <w:rsid w:val="42B13CBA"/>
    <w:rsid w:val="42C84A20"/>
    <w:rsid w:val="42D65527"/>
    <w:rsid w:val="42DF227F"/>
    <w:rsid w:val="42E5002A"/>
    <w:rsid w:val="42E75F7A"/>
    <w:rsid w:val="42F5032A"/>
    <w:rsid w:val="42FB3708"/>
    <w:rsid w:val="43095949"/>
    <w:rsid w:val="430B5D6B"/>
    <w:rsid w:val="43251536"/>
    <w:rsid w:val="432846F5"/>
    <w:rsid w:val="432A1241"/>
    <w:rsid w:val="432F1E46"/>
    <w:rsid w:val="434C71F8"/>
    <w:rsid w:val="435856A8"/>
    <w:rsid w:val="43592C8A"/>
    <w:rsid w:val="43606489"/>
    <w:rsid w:val="43622A01"/>
    <w:rsid w:val="4368276E"/>
    <w:rsid w:val="43842A91"/>
    <w:rsid w:val="439873F8"/>
    <w:rsid w:val="439B2A45"/>
    <w:rsid w:val="43AD2714"/>
    <w:rsid w:val="43D03924"/>
    <w:rsid w:val="43DD57CD"/>
    <w:rsid w:val="43E63364"/>
    <w:rsid w:val="43ED2166"/>
    <w:rsid w:val="43EF4482"/>
    <w:rsid w:val="43F01F04"/>
    <w:rsid w:val="43F718C6"/>
    <w:rsid w:val="43F85A42"/>
    <w:rsid w:val="44020416"/>
    <w:rsid w:val="44021755"/>
    <w:rsid w:val="44037E5E"/>
    <w:rsid w:val="44054AD5"/>
    <w:rsid w:val="4408086E"/>
    <w:rsid w:val="44115CBC"/>
    <w:rsid w:val="443864E5"/>
    <w:rsid w:val="44395B7B"/>
    <w:rsid w:val="445D548D"/>
    <w:rsid w:val="44764038"/>
    <w:rsid w:val="447C4264"/>
    <w:rsid w:val="448D7804"/>
    <w:rsid w:val="44984232"/>
    <w:rsid w:val="449B3BE0"/>
    <w:rsid w:val="44AF7A39"/>
    <w:rsid w:val="44B10046"/>
    <w:rsid w:val="44BF3856"/>
    <w:rsid w:val="44D50999"/>
    <w:rsid w:val="44DB6C58"/>
    <w:rsid w:val="44F3336A"/>
    <w:rsid w:val="44F35F3F"/>
    <w:rsid w:val="45120FE7"/>
    <w:rsid w:val="453D41DB"/>
    <w:rsid w:val="45497C05"/>
    <w:rsid w:val="45511D76"/>
    <w:rsid w:val="457943A5"/>
    <w:rsid w:val="457B47AB"/>
    <w:rsid w:val="457E617A"/>
    <w:rsid w:val="45912351"/>
    <w:rsid w:val="459270B2"/>
    <w:rsid w:val="45940BEF"/>
    <w:rsid w:val="45AA0E9D"/>
    <w:rsid w:val="45AE0F60"/>
    <w:rsid w:val="45C078E0"/>
    <w:rsid w:val="45C77D66"/>
    <w:rsid w:val="45CE3EFB"/>
    <w:rsid w:val="45DE3CAE"/>
    <w:rsid w:val="45E95110"/>
    <w:rsid w:val="45F24FD7"/>
    <w:rsid w:val="45F363E1"/>
    <w:rsid w:val="45F84858"/>
    <w:rsid w:val="45F8746A"/>
    <w:rsid w:val="45FB5A1D"/>
    <w:rsid w:val="460103E6"/>
    <w:rsid w:val="460D0F0F"/>
    <w:rsid w:val="462B052A"/>
    <w:rsid w:val="462F76EB"/>
    <w:rsid w:val="4638381D"/>
    <w:rsid w:val="464B69A4"/>
    <w:rsid w:val="464E2A20"/>
    <w:rsid w:val="4657234D"/>
    <w:rsid w:val="467072E5"/>
    <w:rsid w:val="46911EDD"/>
    <w:rsid w:val="46A02BFF"/>
    <w:rsid w:val="46AA53B0"/>
    <w:rsid w:val="46B94916"/>
    <w:rsid w:val="46CB1B3B"/>
    <w:rsid w:val="46DC6382"/>
    <w:rsid w:val="46DE7AD8"/>
    <w:rsid w:val="46FB32CA"/>
    <w:rsid w:val="46FD43E7"/>
    <w:rsid w:val="4725703C"/>
    <w:rsid w:val="4725770C"/>
    <w:rsid w:val="472622AB"/>
    <w:rsid w:val="472D7E58"/>
    <w:rsid w:val="474C3E89"/>
    <w:rsid w:val="47600B4F"/>
    <w:rsid w:val="477A7684"/>
    <w:rsid w:val="477C5A83"/>
    <w:rsid w:val="4789691E"/>
    <w:rsid w:val="479717D3"/>
    <w:rsid w:val="47A05127"/>
    <w:rsid w:val="47AB1931"/>
    <w:rsid w:val="47B31D87"/>
    <w:rsid w:val="47B37ECA"/>
    <w:rsid w:val="47BD66E7"/>
    <w:rsid w:val="47CB141F"/>
    <w:rsid w:val="47D15AA6"/>
    <w:rsid w:val="47DB5CF2"/>
    <w:rsid w:val="47EC1AC1"/>
    <w:rsid w:val="47FB06A3"/>
    <w:rsid w:val="47FD6978"/>
    <w:rsid w:val="47FF7433"/>
    <w:rsid w:val="480C0188"/>
    <w:rsid w:val="480E0D59"/>
    <w:rsid w:val="48477DF8"/>
    <w:rsid w:val="48561630"/>
    <w:rsid w:val="485A55BF"/>
    <w:rsid w:val="48601003"/>
    <w:rsid w:val="487565D5"/>
    <w:rsid w:val="487979AF"/>
    <w:rsid w:val="488022AC"/>
    <w:rsid w:val="488A3685"/>
    <w:rsid w:val="48926698"/>
    <w:rsid w:val="48965815"/>
    <w:rsid w:val="489A4E2B"/>
    <w:rsid w:val="489F1050"/>
    <w:rsid w:val="48A06322"/>
    <w:rsid w:val="48AE10D0"/>
    <w:rsid w:val="48B11203"/>
    <w:rsid w:val="48B3438D"/>
    <w:rsid w:val="48BD0496"/>
    <w:rsid w:val="48C71057"/>
    <w:rsid w:val="48CE7418"/>
    <w:rsid w:val="48CF1C74"/>
    <w:rsid w:val="48E72BA4"/>
    <w:rsid w:val="48EE3617"/>
    <w:rsid w:val="48F246AF"/>
    <w:rsid w:val="49095066"/>
    <w:rsid w:val="491F7579"/>
    <w:rsid w:val="492A3354"/>
    <w:rsid w:val="49323767"/>
    <w:rsid w:val="494E5BD4"/>
    <w:rsid w:val="49787167"/>
    <w:rsid w:val="49A912FF"/>
    <w:rsid w:val="49B26D3A"/>
    <w:rsid w:val="49B36DE2"/>
    <w:rsid w:val="49C755B8"/>
    <w:rsid w:val="49F2201B"/>
    <w:rsid w:val="4A020EFA"/>
    <w:rsid w:val="4A081145"/>
    <w:rsid w:val="4A121898"/>
    <w:rsid w:val="4A2A68D0"/>
    <w:rsid w:val="4A2A7AFC"/>
    <w:rsid w:val="4A2E7AAE"/>
    <w:rsid w:val="4A3E54DC"/>
    <w:rsid w:val="4A540EED"/>
    <w:rsid w:val="4A5B700A"/>
    <w:rsid w:val="4A5F67B7"/>
    <w:rsid w:val="4A6D0732"/>
    <w:rsid w:val="4A7C5B92"/>
    <w:rsid w:val="4AA448D5"/>
    <w:rsid w:val="4AA922E9"/>
    <w:rsid w:val="4AAA096E"/>
    <w:rsid w:val="4AAC764D"/>
    <w:rsid w:val="4AAE2937"/>
    <w:rsid w:val="4ABD162D"/>
    <w:rsid w:val="4AFB22DA"/>
    <w:rsid w:val="4AFF2774"/>
    <w:rsid w:val="4B1B58B8"/>
    <w:rsid w:val="4B1C5EB8"/>
    <w:rsid w:val="4B441C14"/>
    <w:rsid w:val="4B457788"/>
    <w:rsid w:val="4B4E2A92"/>
    <w:rsid w:val="4B5856BF"/>
    <w:rsid w:val="4B643BC9"/>
    <w:rsid w:val="4B67515E"/>
    <w:rsid w:val="4B7C2C42"/>
    <w:rsid w:val="4B95246F"/>
    <w:rsid w:val="4B95356E"/>
    <w:rsid w:val="4B9D671D"/>
    <w:rsid w:val="4BA74AAE"/>
    <w:rsid w:val="4BA82530"/>
    <w:rsid w:val="4BB60B36"/>
    <w:rsid w:val="4BB7446A"/>
    <w:rsid w:val="4BB77FEE"/>
    <w:rsid w:val="4BBC2B61"/>
    <w:rsid w:val="4BC845F3"/>
    <w:rsid w:val="4BCC4B11"/>
    <w:rsid w:val="4BCC764B"/>
    <w:rsid w:val="4BDF3E8C"/>
    <w:rsid w:val="4BE90D9B"/>
    <w:rsid w:val="4BF1181E"/>
    <w:rsid w:val="4BFF0763"/>
    <w:rsid w:val="4C0077A3"/>
    <w:rsid w:val="4C09555E"/>
    <w:rsid w:val="4C0B05DF"/>
    <w:rsid w:val="4C0C47D3"/>
    <w:rsid w:val="4C1673AD"/>
    <w:rsid w:val="4C1D6C6B"/>
    <w:rsid w:val="4C341F03"/>
    <w:rsid w:val="4C405F26"/>
    <w:rsid w:val="4C4A00F0"/>
    <w:rsid w:val="4C4C3189"/>
    <w:rsid w:val="4C667968"/>
    <w:rsid w:val="4C833A35"/>
    <w:rsid w:val="4C8B17AE"/>
    <w:rsid w:val="4C987A00"/>
    <w:rsid w:val="4C9E35A6"/>
    <w:rsid w:val="4C9F2801"/>
    <w:rsid w:val="4C9F36B9"/>
    <w:rsid w:val="4CCB5B0A"/>
    <w:rsid w:val="4CE30FB8"/>
    <w:rsid w:val="4CF108F3"/>
    <w:rsid w:val="4CFB4554"/>
    <w:rsid w:val="4D054275"/>
    <w:rsid w:val="4D0A44FF"/>
    <w:rsid w:val="4D22590E"/>
    <w:rsid w:val="4D291727"/>
    <w:rsid w:val="4D2B3116"/>
    <w:rsid w:val="4D2F35E3"/>
    <w:rsid w:val="4D352FBB"/>
    <w:rsid w:val="4D4B1038"/>
    <w:rsid w:val="4D553B3F"/>
    <w:rsid w:val="4D7807A0"/>
    <w:rsid w:val="4D873874"/>
    <w:rsid w:val="4D8B4E2D"/>
    <w:rsid w:val="4D8B52F2"/>
    <w:rsid w:val="4DA05626"/>
    <w:rsid w:val="4DAB7D28"/>
    <w:rsid w:val="4DBB224A"/>
    <w:rsid w:val="4DBE5B79"/>
    <w:rsid w:val="4DBF2B07"/>
    <w:rsid w:val="4DC1669C"/>
    <w:rsid w:val="4DCE46FF"/>
    <w:rsid w:val="4DD52FF7"/>
    <w:rsid w:val="4DE27B58"/>
    <w:rsid w:val="4DEB02B8"/>
    <w:rsid w:val="4DEB6549"/>
    <w:rsid w:val="4DEC0CC6"/>
    <w:rsid w:val="4E235B10"/>
    <w:rsid w:val="4E31040B"/>
    <w:rsid w:val="4E5938D9"/>
    <w:rsid w:val="4E6A0570"/>
    <w:rsid w:val="4E6C0B6D"/>
    <w:rsid w:val="4E764B3D"/>
    <w:rsid w:val="4E7A5EC8"/>
    <w:rsid w:val="4EB2275C"/>
    <w:rsid w:val="4EB44BB2"/>
    <w:rsid w:val="4EB45D0E"/>
    <w:rsid w:val="4EC00443"/>
    <w:rsid w:val="4EC03BA6"/>
    <w:rsid w:val="4EC820CD"/>
    <w:rsid w:val="4ED43BB5"/>
    <w:rsid w:val="4EDC1F62"/>
    <w:rsid w:val="4EFF35F5"/>
    <w:rsid w:val="4F08110D"/>
    <w:rsid w:val="4F1D0963"/>
    <w:rsid w:val="4F302BDB"/>
    <w:rsid w:val="4F361B4D"/>
    <w:rsid w:val="4F372395"/>
    <w:rsid w:val="4F396F09"/>
    <w:rsid w:val="4F3D5543"/>
    <w:rsid w:val="4F6B5159"/>
    <w:rsid w:val="4F9D72CF"/>
    <w:rsid w:val="4FA6517F"/>
    <w:rsid w:val="4FD9460B"/>
    <w:rsid w:val="4FDD58DA"/>
    <w:rsid w:val="4FDF614C"/>
    <w:rsid w:val="4FE32172"/>
    <w:rsid w:val="4FE905A5"/>
    <w:rsid w:val="50022000"/>
    <w:rsid w:val="500831D1"/>
    <w:rsid w:val="502266FC"/>
    <w:rsid w:val="502A5809"/>
    <w:rsid w:val="502D0EC8"/>
    <w:rsid w:val="50347F41"/>
    <w:rsid w:val="50423761"/>
    <w:rsid w:val="50454464"/>
    <w:rsid w:val="505E72D4"/>
    <w:rsid w:val="506E1645"/>
    <w:rsid w:val="50830ED6"/>
    <w:rsid w:val="508B3E41"/>
    <w:rsid w:val="508D27A6"/>
    <w:rsid w:val="508E1854"/>
    <w:rsid w:val="509016B8"/>
    <w:rsid w:val="50944F55"/>
    <w:rsid w:val="509748C6"/>
    <w:rsid w:val="50AB3567"/>
    <w:rsid w:val="50AE4CA4"/>
    <w:rsid w:val="50D07538"/>
    <w:rsid w:val="50D27736"/>
    <w:rsid w:val="50DD0FFB"/>
    <w:rsid w:val="50DF7A51"/>
    <w:rsid w:val="50E65546"/>
    <w:rsid w:val="50EC6973"/>
    <w:rsid w:val="50F41265"/>
    <w:rsid w:val="50FD57E1"/>
    <w:rsid w:val="5106071E"/>
    <w:rsid w:val="51074548"/>
    <w:rsid w:val="51124BFA"/>
    <w:rsid w:val="511943E5"/>
    <w:rsid w:val="511A70D0"/>
    <w:rsid w:val="512037C9"/>
    <w:rsid w:val="51522883"/>
    <w:rsid w:val="515C7B07"/>
    <w:rsid w:val="51604F02"/>
    <w:rsid w:val="51667F59"/>
    <w:rsid w:val="516E3547"/>
    <w:rsid w:val="517F7502"/>
    <w:rsid w:val="518B6458"/>
    <w:rsid w:val="51937FE1"/>
    <w:rsid w:val="51950F66"/>
    <w:rsid w:val="51A534B8"/>
    <w:rsid w:val="51B40DA4"/>
    <w:rsid w:val="51B71955"/>
    <w:rsid w:val="51BA7EDE"/>
    <w:rsid w:val="51CF4E24"/>
    <w:rsid w:val="51E258E3"/>
    <w:rsid w:val="51EE5E58"/>
    <w:rsid w:val="51EE5F9B"/>
    <w:rsid w:val="51FA569B"/>
    <w:rsid w:val="51FE37A6"/>
    <w:rsid w:val="52397C08"/>
    <w:rsid w:val="52473018"/>
    <w:rsid w:val="524B3DB9"/>
    <w:rsid w:val="525766D1"/>
    <w:rsid w:val="525C48B7"/>
    <w:rsid w:val="526527E1"/>
    <w:rsid w:val="5276033B"/>
    <w:rsid w:val="527618D9"/>
    <w:rsid w:val="527C1967"/>
    <w:rsid w:val="52982275"/>
    <w:rsid w:val="52A160DF"/>
    <w:rsid w:val="52AE1A33"/>
    <w:rsid w:val="52BB1FA0"/>
    <w:rsid w:val="52C23DE9"/>
    <w:rsid w:val="52D6723B"/>
    <w:rsid w:val="52D83D21"/>
    <w:rsid w:val="52ED4D9B"/>
    <w:rsid w:val="531404DE"/>
    <w:rsid w:val="531E40B6"/>
    <w:rsid w:val="53226600"/>
    <w:rsid w:val="53602CFA"/>
    <w:rsid w:val="53747974"/>
    <w:rsid w:val="53792400"/>
    <w:rsid w:val="537A3571"/>
    <w:rsid w:val="538C47D9"/>
    <w:rsid w:val="539959DD"/>
    <w:rsid w:val="539A2935"/>
    <w:rsid w:val="53A15B43"/>
    <w:rsid w:val="53BD0BDC"/>
    <w:rsid w:val="53C64FBB"/>
    <w:rsid w:val="53F961D2"/>
    <w:rsid w:val="54023DEE"/>
    <w:rsid w:val="540B1521"/>
    <w:rsid w:val="540C0E94"/>
    <w:rsid w:val="541447FD"/>
    <w:rsid w:val="54216F96"/>
    <w:rsid w:val="54497256"/>
    <w:rsid w:val="545411CF"/>
    <w:rsid w:val="5455121F"/>
    <w:rsid w:val="54607978"/>
    <w:rsid w:val="54640C31"/>
    <w:rsid w:val="54700155"/>
    <w:rsid w:val="547A703E"/>
    <w:rsid w:val="54977258"/>
    <w:rsid w:val="54AD745E"/>
    <w:rsid w:val="54BC1D07"/>
    <w:rsid w:val="54D25CC6"/>
    <w:rsid w:val="54D50DA3"/>
    <w:rsid w:val="54E603D9"/>
    <w:rsid w:val="54F05603"/>
    <w:rsid w:val="55024486"/>
    <w:rsid w:val="55027C53"/>
    <w:rsid w:val="55044955"/>
    <w:rsid w:val="5519649C"/>
    <w:rsid w:val="552B751E"/>
    <w:rsid w:val="5530573F"/>
    <w:rsid w:val="55317224"/>
    <w:rsid w:val="55384BEF"/>
    <w:rsid w:val="554A487A"/>
    <w:rsid w:val="554D400C"/>
    <w:rsid w:val="554E488C"/>
    <w:rsid w:val="55530328"/>
    <w:rsid w:val="55656729"/>
    <w:rsid w:val="55671884"/>
    <w:rsid w:val="5575284B"/>
    <w:rsid w:val="55AD7037"/>
    <w:rsid w:val="55BC1C2D"/>
    <w:rsid w:val="55C25478"/>
    <w:rsid w:val="55C909CB"/>
    <w:rsid w:val="55C93D4D"/>
    <w:rsid w:val="55D52260"/>
    <w:rsid w:val="55E03E74"/>
    <w:rsid w:val="55E65AA5"/>
    <w:rsid w:val="561E00D5"/>
    <w:rsid w:val="5629469A"/>
    <w:rsid w:val="5664176F"/>
    <w:rsid w:val="566A0323"/>
    <w:rsid w:val="567150DE"/>
    <w:rsid w:val="569A3A06"/>
    <w:rsid w:val="56A624FF"/>
    <w:rsid w:val="56AA3196"/>
    <w:rsid w:val="56AF3E3C"/>
    <w:rsid w:val="56B5203A"/>
    <w:rsid w:val="56CD4327"/>
    <w:rsid w:val="56DE4CCA"/>
    <w:rsid w:val="56FA66CD"/>
    <w:rsid w:val="56FB711C"/>
    <w:rsid w:val="570907D3"/>
    <w:rsid w:val="570979AA"/>
    <w:rsid w:val="570F0CE3"/>
    <w:rsid w:val="570F3506"/>
    <w:rsid w:val="57160908"/>
    <w:rsid w:val="572F197E"/>
    <w:rsid w:val="573A5323"/>
    <w:rsid w:val="573F2F63"/>
    <w:rsid w:val="574115C2"/>
    <w:rsid w:val="575371B1"/>
    <w:rsid w:val="57596712"/>
    <w:rsid w:val="57641410"/>
    <w:rsid w:val="57833E15"/>
    <w:rsid w:val="579B400E"/>
    <w:rsid w:val="57A547F7"/>
    <w:rsid w:val="57AB6FA2"/>
    <w:rsid w:val="57B74EBF"/>
    <w:rsid w:val="57C54672"/>
    <w:rsid w:val="57EE1012"/>
    <w:rsid w:val="57FB5D50"/>
    <w:rsid w:val="580A0A8D"/>
    <w:rsid w:val="580D3184"/>
    <w:rsid w:val="58146658"/>
    <w:rsid w:val="581E2353"/>
    <w:rsid w:val="58215264"/>
    <w:rsid w:val="582A4A54"/>
    <w:rsid w:val="583C11E8"/>
    <w:rsid w:val="58607D56"/>
    <w:rsid w:val="587375E4"/>
    <w:rsid w:val="587518AF"/>
    <w:rsid w:val="587A4A48"/>
    <w:rsid w:val="58B6400C"/>
    <w:rsid w:val="58D11E00"/>
    <w:rsid w:val="58D33C1B"/>
    <w:rsid w:val="58DB3C34"/>
    <w:rsid w:val="58E25E98"/>
    <w:rsid w:val="58E270E0"/>
    <w:rsid w:val="58E6255C"/>
    <w:rsid w:val="591B1E32"/>
    <w:rsid w:val="591E0A5B"/>
    <w:rsid w:val="592B0769"/>
    <w:rsid w:val="59373B6B"/>
    <w:rsid w:val="593926A8"/>
    <w:rsid w:val="594E58FE"/>
    <w:rsid w:val="59517AE3"/>
    <w:rsid w:val="59540730"/>
    <w:rsid w:val="595F3FB8"/>
    <w:rsid w:val="596874EE"/>
    <w:rsid w:val="596934EB"/>
    <w:rsid w:val="597C4757"/>
    <w:rsid w:val="598275B7"/>
    <w:rsid w:val="599C2C5F"/>
    <w:rsid w:val="59A02A53"/>
    <w:rsid w:val="59A65146"/>
    <w:rsid w:val="59B26AA7"/>
    <w:rsid w:val="59B32471"/>
    <w:rsid w:val="59C152CE"/>
    <w:rsid w:val="59C20154"/>
    <w:rsid w:val="59D10D5C"/>
    <w:rsid w:val="59F31777"/>
    <w:rsid w:val="59FE5B32"/>
    <w:rsid w:val="5A260407"/>
    <w:rsid w:val="5A3A7F15"/>
    <w:rsid w:val="5A5E1527"/>
    <w:rsid w:val="5A6A273C"/>
    <w:rsid w:val="5A765FAF"/>
    <w:rsid w:val="5A9A166F"/>
    <w:rsid w:val="5AAC69EE"/>
    <w:rsid w:val="5AE062A2"/>
    <w:rsid w:val="5AEB56EE"/>
    <w:rsid w:val="5AF3463B"/>
    <w:rsid w:val="5AFA3916"/>
    <w:rsid w:val="5B0501EA"/>
    <w:rsid w:val="5B08634A"/>
    <w:rsid w:val="5B0B0883"/>
    <w:rsid w:val="5B122177"/>
    <w:rsid w:val="5B280C0A"/>
    <w:rsid w:val="5B34234C"/>
    <w:rsid w:val="5B38482E"/>
    <w:rsid w:val="5B3F43B4"/>
    <w:rsid w:val="5B452D6C"/>
    <w:rsid w:val="5B4D5A95"/>
    <w:rsid w:val="5B4D7567"/>
    <w:rsid w:val="5B5E4410"/>
    <w:rsid w:val="5B70574B"/>
    <w:rsid w:val="5B7464A6"/>
    <w:rsid w:val="5B7E0997"/>
    <w:rsid w:val="5B8154C5"/>
    <w:rsid w:val="5BAC5851"/>
    <w:rsid w:val="5BAE1FF5"/>
    <w:rsid w:val="5BCC14F4"/>
    <w:rsid w:val="5BE77AA9"/>
    <w:rsid w:val="5BEB37F0"/>
    <w:rsid w:val="5BEE6662"/>
    <w:rsid w:val="5BF27267"/>
    <w:rsid w:val="5BFC0EBA"/>
    <w:rsid w:val="5C156C25"/>
    <w:rsid w:val="5C217C66"/>
    <w:rsid w:val="5C231EC3"/>
    <w:rsid w:val="5C252DE8"/>
    <w:rsid w:val="5C442F40"/>
    <w:rsid w:val="5C915E6B"/>
    <w:rsid w:val="5C994CE2"/>
    <w:rsid w:val="5C9E7DD6"/>
    <w:rsid w:val="5C9F2C03"/>
    <w:rsid w:val="5CA2275C"/>
    <w:rsid w:val="5CB3424B"/>
    <w:rsid w:val="5CB56C70"/>
    <w:rsid w:val="5CB61A8A"/>
    <w:rsid w:val="5CBE323D"/>
    <w:rsid w:val="5CD54DC2"/>
    <w:rsid w:val="5CD65DC0"/>
    <w:rsid w:val="5CDA4186"/>
    <w:rsid w:val="5CE22A26"/>
    <w:rsid w:val="5D036BB7"/>
    <w:rsid w:val="5D1B41D7"/>
    <w:rsid w:val="5D2763B4"/>
    <w:rsid w:val="5D303012"/>
    <w:rsid w:val="5D3B67B3"/>
    <w:rsid w:val="5D4D621E"/>
    <w:rsid w:val="5D7A3461"/>
    <w:rsid w:val="5D7F4930"/>
    <w:rsid w:val="5D8616AC"/>
    <w:rsid w:val="5D923490"/>
    <w:rsid w:val="5D96272E"/>
    <w:rsid w:val="5D9A44E3"/>
    <w:rsid w:val="5DB31446"/>
    <w:rsid w:val="5DBB77F2"/>
    <w:rsid w:val="5DC10EA2"/>
    <w:rsid w:val="5DC154F4"/>
    <w:rsid w:val="5DCC5A91"/>
    <w:rsid w:val="5DD72473"/>
    <w:rsid w:val="5DDF1FCE"/>
    <w:rsid w:val="5DE15EA6"/>
    <w:rsid w:val="5DEA43BA"/>
    <w:rsid w:val="5DF70703"/>
    <w:rsid w:val="5DFC5B86"/>
    <w:rsid w:val="5DFD1600"/>
    <w:rsid w:val="5E1611EE"/>
    <w:rsid w:val="5E1849EE"/>
    <w:rsid w:val="5E277C38"/>
    <w:rsid w:val="5E3D711F"/>
    <w:rsid w:val="5E436B37"/>
    <w:rsid w:val="5E4F0383"/>
    <w:rsid w:val="5E652175"/>
    <w:rsid w:val="5E666848"/>
    <w:rsid w:val="5E666CEB"/>
    <w:rsid w:val="5E8C2D08"/>
    <w:rsid w:val="5ECB647C"/>
    <w:rsid w:val="5ED84516"/>
    <w:rsid w:val="5EE45362"/>
    <w:rsid w:val="5EE64C3F"/>
    <w:rsid w:val="5EEA6F44"/>
    <w:rsid w:val="5F284240"/>
    <w:rsid w:val="5F30798E"/>
    <w:rsid w:val="5F373A20"/>
    <w:rsid w:val="5F416C1F"/>
    <w:rsid w:val="5F573633"/>
    <w:rsid w:val="5F577A7F"/>
    <w:rsid w:val="5F731427"/>
    <w:rsid w:val="5F8800C7"/>
    <w:rsid w:val="5F974B55"/>
    <w:rsid w:val="5F991667"/>
    <w:rsid w:val="5FA25B22"/>
    <w:rsid w:val="5FA57677"/>
    <w:rsid w:val="5FD3370C"/>
    <w:rsid w:val="5FEB7EE3"/>
    <w:rsid w:val="5FFE1F39"/>
    <w:rsid w:val="5FFF7756"/>
    <w:rsid w:val="60064219"/>
    <w:rsid w:val="600A739C"/>
    <w:rsid w:val="600B6469"/>
    <w:rsid w:val="600D3BA4"/>
    <w:rsid w:val="601D579C"/>
    <w:rsid w:val="601E438A"/>
    <w:rsid w:val="604161C5"/>
    <w:rsid w:val="60560079"/>
    <w:rsid w:val="606B0CDD"/>
    <w:rsid w:val="6072134A"/>
    <w:rsid w:val="60727C1B"/>
    <w:rsid w:val="607311FA"/>
    <w:rsid w:val="6074278E"/>
    <w:rsid w:val="607D18D9"/>
    <w:rsid w:val="608122D1"/>
    <w:rsid w:val="60813C8B"/>
    <w:rsid w:val="608869FD"/>
    <w:rsid w:val="60974649"/>
    <w:rsid w:val="60B56F69"/>
    <w:rsid w:val="60D07165"/>
    <w:rsid w:val="60D251C9"/>
    <w:rsid w:val="60D8768C"/>
    <w:rsid w:val="60DB04CD"/>
    <w:rsid w:val="60DB558A"/>
    <w:rsid w:val="60E41FD7"/>
    <w:rsid w:val="60F66235"/>
    <w:rsid w:val="60F82702"/>
    <w:rsid w:val="61011EA0"/>
    <w:rsid w:val="610938B3"/>
    <w:rsid w:val="610E6D0E"/>
    <w:rsid w:val="611D016D"/>
    <w:rsid w:val="614D1FB2"/>
    <w:rsid w:val="615F5737"/>
    <w:rsid w:val="6164334A"/>
    <w:rsid w:val="616C6FE3"/>
    <w:rsid w:val="616E30EF"/>
    <w:rsid w:val="617213B6"/>
    <w:rsid w:val="61753DE9"/>
    <w:rsid w:val="6190797D"/>
    <w:rsid w:val="619310C7"/>
    <w:rsid w:val="619B2A4F"/>
    <w:rsid w:val="61B230EF"/>
    <w:rsid w:val="61B42017"/>
    <w:rsid w:val="61B74005"/>
    <w:rsid w:val="61C953A4"/>
    <w:rsid w:val="61D16666"/>
    <w:rsid w:val="61DC2979"/>
    <w:rsid w:val="61F70404"/>
    <w:rsid w:val="620B65C2"/>
    <w:rsid w:val="6239194F"/>
    <w:rsid w:val="624D253F"/>
    <w:rsid w:val="624E1B54"/>
    <w:rsid w:val="62502FB6"/>
    <w:rsid w:val="6252471E"/>
    <w:rsid w:val="626A5FAC"/>
    <w:rsid w:val="626D51C7"/>
    <w:rsid w:val="62783324"/>
    <w:rsid w:val="627D5CDF"/>
    <w:rsid w:val="62865532"/>
    <w:rsid w:val="62881A95"/>
    <w:rsid w:val="629712EF"/>
    <w:rsid w:val="62A2295B"/>
    <w:rsid w:val="62B61228"/>
    <w:rsid w:val="62C7181E"/>
    <w:rsid w:val="62E25070"/>
    <w:rsid w:val="62E521F5"/>
    <w:rsid w:val="62E747A6"/>
    <w:rsid w:val="62EB3182"/>
    <w:rsid w:val="62EC0759"/>
    <w:rsid w:val="62EE3075"/>
    <w:rsid w:val="62F016BC"/>
    <w:rsid w:val="62F04CFB"/>
    <w:rsid w:val="63186BDC"/>
    <w:rsid w:val="631A5632"/>
    <w:rsid w:val="631D4BDD"/>
    <w:rsid w:val="63394BFF"/>
    <w:rsid w:val="633F11E7"/>
    <w:rsid w:val="63564E25"/>
    <w:rsid w:val="6382045B"/>
    <w:rsid w:val="638E66A6"/>
    <w:rsid w:val="63937C6D"/>
    <w:rsid w:val="63A51085"/>
    <w:rsid w:val="63B35F98"/>
    <w:rsid w:val="63C809DA"/>
    <w:rsid w:val="63C92029"/>
    <w:rsid w:val="63DD778C"/>
    <w:rsid w:val="63F012E8"/>
    <w:rsid w:val="63F10007"/>
    <w:rsid w:val="640810AA"/>
    <w:rsid w:val="64114CB8"/>
    <w:rsid w:val="64191A38"/>
    <w:rsid w:val="642C6B67"/>
    <w:rsid w:val="642E16BE"/>
    <w:rsid w:val="64373CEA"/>
    <w:rsid w:val="643E4883"/>
    <w:rsid w:val="6441217E"/>
    <w:rsid w:val="64561A13"/>
    <w:rsid w:val="64604930"/>
    <w:rsid w:val="648260E2"/>
    <w:rsid w:val="648C5F96"/>
    <w:rsid w:val="64992BD9"/>
    <w:rsid w:val="649A719B"/>
    <w:rsid w:val="64C03B65"/>
    <w:rsid w:val="64D128AB"/>
    <w:rsid w:val="64D730FC"/>
    <w:rsid w:val="64DF7762"/>
    <w:rsid w:val="64F034A6"/>
    <w:rsid w:val="64F06B46"/>
    <w:rsid w:val="64F144CA"/>
    <w:rsid w:val="64F359EB"/>
    <w:rsid w:val="65196183"/>
    <w:rsid w:val="65311554"/>
    <w:rsid w:val="653A3BCD"/>
    <w:rsid w:val="65492406"/>
    <w:rsid w:val="654D2B9D"/>
    <w:rsid w:val="65515201"/>
    <w:rsid w:val="655A0100"/>
    <w:rsid w:val="656E3654"/>
    <w:rsid w:val="656E4498"/>
    <w:rsid w:val="65701581"/>
    <w:rsid w:val="65951A49"/>
    <w:rsid w:val="65A27089"/>
    <w:rsid w:val="65EE0EBA"/>
    <w:rsid w:val="65F05F16"/>
    <w:rsid w:val="65F74D6A"/>
    <w:rsid w:val="66016188"/>
    <w:rsid w:val="66154884"/>
    <w:rsid w:val="661E3335"/>
    <w:rsid w:val="6624114B"/>
    <w:rsid w:val="66294117"/>
    <w:rsid w:val="66321641"/>
    <w:rsid w:val="66395602"/>
    <w:rsid w:val="664C23E4"/>
    <w:rsid w:val="665A16D6"/>
    <w:rsid w:val="666E5C0A"/>
    <w:rsid w:val="66974B6A"/>
    <w:rsid w:val="66A42AA6"/>
    <w:rsid w:val="66AA2E1B"/>
    <w:rsid w:val="66AB22FE"/>
    <w:rsid w:val="66B159F7"/>
    <w:rsid w:val="66C34AA8"/>
    <w:rsid w:val="66C64D11"/>
    <w:rsid w:val="66CA11E5"/>
    <w:rsid w:val="66CA652F"/>
    <w:rsid w:val="66D72494"/>
    <w:rsid w:val="66D73D50"/>
    <w:rsid w:val="66E5442B"/>
    <w:rsid w:val="66E91D9C"/>
    <w:rsid w:val="66EB610E"/>
    <w:rsid w:val="66EF4B66"/>
    <w:rsid w:val="66F25230"/>
    <w:rsid w:val="670B3E3B"/>
    <w:rsid w:val="67192A32"/>
    <w:rsid w:val="67244646"/>
    <w:rsid w:val="673175A9"/>
    <w:rsid w:val="67504A27"/>
    <w:rsid w:val="67624712"/>
    <w:rsid w:val="6773775A"/>
    <w:rsid w:val="67780823"/>
    <w:rsid w:val="6780592A"/>
    <w:rsid w:val="67931B01"/>
    <w:rsid w:val="679622BC"/>
    <w:rsid w:val="679B1D06"/>
    <w:rsid w:val="67BF6452"/>
    <w:rsid w:val="67BF6E6A"/>
    <w:rsid w:val="67C63E4F"/>
    <w:rsid w:val="67D03227"/>
    <w:rsid w:val="67E2517F"/>
    <w:rsid w:val="67ED628D"/>
    <w:rsid w:val="68081863"/>
    <w:rsid w:val="68151FD4"/>
    <w:rsid w:val="681B752F"/>
    <w:rsid w:val="68275505"/>
    <w:rsid w:val="6833048A"/>
    <w:rsid w:val="68336B38"/>
    <w:rsid w:val="68351F05"/>
    <w:rsid w:val="683D1419"/>
    <w:rsid w:val="68537701"/>
    <w:rsid w:val="68722AE0"/>
    <w:rsid w:val="687B151F"/>
    <w:rsid w:val="687C36D1"/>
    <w:rsid w:val="68930083"/>
    <w:rsid w:val="68BE3BFB"/>
    <w:rsid w:val="68C0778C"/>
    <w:rsid w:val="68D50789"/>
    <w:rsid w:val="68ED5994"/>
    <w:rsid w:val="68F52DDD"/>
    <w:rsid w:val="68FC7232"/>
    <w:rsid w:val="69011DE4"/>
    <w:rsid w:val="69184B8E"/>
    <w:rsid w:val="6921232E"/>
    <w:rsid w:val="69280128"/>
    <w:rsid w:val="6933589D"/>
    <w:rsid w:val="693736B8"/>
    <w:rsid w:val="693E3CEF"/>
    <w:rsid w:val="69530648"/>
    <w:rsid w:val="696A787D"/>
    <w:rsid w:val="697324B2"/>
    <w:rsid w:val="69787099"/>
    <w:rsid w:val="69867DF1"/>
    <w:rsid w:val="69897A0F"/>
    <w:rsid w:val="699106EB"/>
    <w:rsid w:val="69A67503"/>
    <w:rsid w:val="69B51688"/>
    <w:rsid w:val="69B52ACD"/>
    <w:rsid w:val="69F02805"/>
    <w:rsid w:val="69FE274B"/>
    <w:rsid w:val="6A06001C"/>
    <w:rsid w:val="6A2762DA"/>
    <w:rsid w:val="6A527A52"/>
    <w:rsid w:val="6A616821"/>
    <w:rsid w:val="6A6F7BBA"/>
    <w:rsid w:val="6AB76720"/>
    <w:rsid w:val="6ABA5127"/>
    <w:rsid w:val="6AC45F32"/>
    <w:rsid w:val="6AC662D2"/>
    <w:rsid w:val="6ACA2AB5"/>
    <w:rsid w:val="6AE54E81"/>
    <w:rsid w:val="6AF61EEF"/>
    <w:rsid w:val="6B003A26"/>
    <w:rsid w:val="6B1747F7"/>
    <w:rsid w:val="6B1B6445"/>
    <w:rsid w:val="6B3C261B"/>
    <w:rsid w:val="6B4B1FE4"/>
    <w:rsid w:val="6B507C3D"/>
    <w:rsid w:val="6B5A4FFF"/>
    <w:rsid w:val="6B67752D"/>
    <w:rsid w:val="6B784F1F"/>
    <w:rsid w:val="6B7E5A45"/>
    <w:rsid w:val="6B807797"/>
    <w:rsid w:val="6B83251F"/>
    <w:rsid w:val="6B95030D"/>
    <w:rsid w:val="6B973377"/>
    <w:rsid w:val="6B992596"/>
    <w:rsid w:val="6B9D14F7"/>
    <w:rsid w:val="6B9F4AC6"/>
    <w:rsid w:val="6BA34561"/>
    <w:rsid w:val="6BA8152C"/>
    <w:rsid w:val="6BB87D88"/>
    <w:rsid w:val="6BC72FF0"/>
    <w:rsid w:val="6BDD4921"/>
    <w:rsid w:val="6BE26BB3"/>
    <w:rsid w:val="6BE84243"/>
    <w:rsid w:val="6C0B3995"/>
    <w:rsid w:val="6C1B186B"/>
    <w:rsid w:val="6C1D0572"/>
    <w:rsid w:val="6C2E4E54"/>
    <w:rsid w:val="6C475128"/>
    <w:rsid w:val="6C4A6B37"/>
    <w:rsid w:val="6C69087C"/>
    <w:rsid w:val="6C6B4DFB"/>
    <w:rsid w:val="6C865238"/>
    <w:rsid w:val="6C97799E"/>
    <w:rsid w:val="6C9B4E24"/>
    <w:rsid w:val="6CC1587C"/>
    <w:rsid w:val="6CDB50D8"/>
    <w:rsid w:val="6CF9560D"/>
    <w:rsid w:val="6D0F33FD"/>
    <w:rsid w:val="6D131E03"/>
    <w:rsid w:val="6D2407EB"/>
    <w:rsid w:val="6D2A1FD8"/>
    <w:rsid w:val="6D3A0EC0"/>
    <w:rsid w:val="6D3B3EC1"/>
    <w:rsid w:val="6D49673B"/>
    <w:rsid w:val="6D7139D6"/>
    <w:rsid w:val="6D7E6700"/>
    <w:rsid w:val="6D824001"/>
    <w:rsid w:val="6D872B7A"/>
    <w:rsid w:val="6D927F02"/>
    <w:rsid w:val="6DCE6CB3"/>
    <w:rsid w:val="6DD523A3"/>
    <w:rsid w:val="6DE068B6"/>
    <w:rsid w:val="6DEA3148"/>
    <w:rsid w:val="6DFD301F"/>
    <w:rsid w:val="6E010A82"/>
    <w:rsid w:val="6E081EA2"/>
    <w:rsid w:val="6E3E1B9C"/>
    <w:rsid w:val="6E554587"/>
    <w:rsid w:val="6E580E15"/>
    <w:rsid w:val="6E5F07A0"/>
    <w:rsid w:val="6E63719A"/>
    <w:rsid w:val="6E683E8E"/>
    <w:rsid w:val="6E7D1875"/>
    <w:rsid w:val="6EA10310"/>
    <w:rsid w:val="6EA117F7"/>
    <w:rsid w:val="6EAA0C20"/>
    <w:rsid w:val="6EB91B76"/>
    <w:rsid w:val="6EC16F54"/>
    <w:rsid w:val="6ED24740"/>
    <w:rsid w:val="6EFA5189"/>
    <w:rsid w:val="6F000329"/>
    <w:rsid w:val="6F0E17A1"/>
    <w:rsid w:val="6F0E2EC2"/>
    <w:rsid w:val="6F0F5F11"/>
    <w:rsid w:val="6F10610D"/>
    <w:rsid w:val="6F2262E0"/>
    <w:rsid w:val="6F2C204D"/>
    <w:rsid w:val="6F475400"/>
    <w:rsid w:val="6F483FA1"/>
    <w:rsid w:val="6F497169"/>
    <w:rsid w:val="6F574E76"/>
    <w:rsid w:val="6F5F3BC6"/>
    <w:rsid w:val="6F655B31"/>
    <w:rsid w:val="6F732867"/>
    <w:rsid w:val="6F754F34"/>
    <w:rsid w:val="6F7A7FF3"/>
    <w:rsid w:val="6F7E4D50"/>
    <w:rsid w:val="6F9D72C1"/>
    <w:rsid w:val="6FAE3333"/>
    <w:rsid w:val="6FB026CC"/>
    <w:rsid w:val="6FB87CED"/>
    <w:rsid w:val="6FC50CC6"/>
    <w:rsid w:val="6FD07F3A"/>
    <w:rsid w:val="6FE476A3"/>
    <w:rsid w:val="70052CC9"/>
    <w:rsid w:val="700675D0"/>
    <w:rsid w:val="7020414E"/>
    <w:rsid w:val="702F4391"/>
    <w:rsid w:val="703079B9"/>
    <w:rsid w:val="70565388"/>
    <w:rsid w:val="705A65BD"/>
    <w:rsid w:val="707357E9"/>
    <w:rsid w:val="70852589"/>
    <w:rsid w:val="70871A9B"/>
    <w:rsid w:val="708A5841"/>
    <w:rsid w:val="708B7652"/>
    <w:rsid w:val="708E482C"/>
    <w:rsid w:val="70971A8F"/>
    <w:rsid w:val="70B11484"/>
    <w:rsid w:val="70B73156"/>
    <w:rsid w:val="70C27F8A"/>
    <w:rsid w:val="70C57D72"/>
    <w:rsid w:val="70CB3F08"/>
    <w:rsid w:val="70E12574"/>
    <w:rsid w:val="70F21646"/>
    <w:rsid w:val="70F23895"/>
    <w:rsid w:val="70F44069"/>
    <w:rsid w:val="70F746EE"/>
    <w:rsid w:val="71136A90"/>
    <w:rsid w:val="711827C6"/>
    <w:rsid w:val="71312827"/>
    <w:rsid w:val="714814E8"/>
    <w:rsid w:val="715E69A8"/>
    <w:rsid w:val="716F0EE9"/>
    <w:rsid w:val="7180106F"/>
    <w:rsid w:val="71814B45"/>
    <w:rsid w:val="718D647D"/>
    <w:rsid w:val="719646C8"/>
    <w:rsid w:val="71A01552"/>
    <w:rsid w:val="71A861A9"/>
    <w:rsid w:val="71BA1145"/>
    <w:rsid w:val="71BA6543"/>
    <w:rsid w:val="71E74210"/>
    <w:rsid w:val="71EF6656"/>
    <w:rsid w:val="720B4AA9"/>
    <w:rsid w:val="720E00F5"/>
    <w:rsid w:val="72126D67"/>
    <w:rsid w:val="72127AC6"/>
    <w:rsid w:val="72140F27"/>
    <w:rsid w:val="72256827"/>
    <w:rsid w:val="722E27A7"/>
    <w:rsid w:val="724A0466"/>
    <w:rsid w:val="72516DBF"/>
    <w:rsid w:val="725C6292"/>
    <w:rsid w:val="72635AB4"/>
    <w:rsid w:val="7281521F"/>
    <w:rsid w:val="729845BD"/>
    <w:rsid w:val="729C1592"/>
    <w:rsid w:val="72AD3FCC"/>
    <w:rsid w:val="72AF3CCD"/>
    <w:rsid w:val="72B77CF2"/>
    <w:rsid w:val="72C663B0"/>
    <w:rsid w:val="72C900F8"/>
    <w:rsid w:val="72C9027C"/>
    <w:rsid w:val="72DD7D0E"/>
    <w:rsid w:val="72E341B2"/>
    <w:rsid w:val="72F879FD"/>
    <w:rsid w:val="72F978E1"/>
    <w:rsid w:val="730936C7"/>
    <w:rsid w:val="731611FF"/>
    <w:rsid w:val="7320479D"/>
    <w:rsid w:val="73206694"/>
    <w:rsid w:val="732A314B"/>
    <w:rsid w:val="73337CF4"/>
    <w:rsid w:val="733B4588"/>
    <w:rsid w:val="73445AAB"/>
    <w:rsid w:val="73636FEB"/>
    <w:rsid w:val="737922F3"/>
    <w:rsid w:val="73917817"/>
    <w:rsid w:val="739C12B6"/>
    <w:rsid w:val="73A43546"/>
    <w:rsid w:val="73B7633A"/>
    <w:rsid w:val="73BB7CE2"/>
    <w:rsid w:val="73BC69EE"/>
    <w:rsid w:val="73DC65DE"/>
    <w:rsid w:val="73E3171A"/>
    <w:rsid w:val="73ED361A"/>
    <w:rsid w:val="73F91910"/>
    <w:rsid w:val="74033004"/>
    <w:rsid w:val="74161AF0"/>
    <w:rsid w:val="7420059A"/>
    <w:rsid w:val="746E76EC"/>
    <w:rsid w:val="74760C64"/>
    <w:rsid w:val="747E5ED6"/>
    <w:rsid w:val="747F6C40"/>
    <w:rsid w:val="74807A31"/>
    <w:rsid w:val="748C2565"/>
    <w:rsid w:val="749968D4"/>
    <w:rsid w:val="74B30307"/>
    <w:rsid w:val="74B83A99"/>
    <w:rsid w:val="74D55507"/>
    <w:rsid w:val="74E02463"/>
    <w:rsid w:val="74E45766"/>
    <w:rsid w:val="75023E22"/>
    <w:rsid w:val="75106722"/>
    <w:rsid w:val="751F3A84"/>
    <w:rsid w:val="75217276"/>
    <w:rsid w:val="753417CF"/>
    <w:rsid w:val="7535333A"/>
    <w:rsid w:val="75372414"/>
    <w:rsid w:val="755B1CAB"/>
    <w:rsid w:val="757C314C"/>
    <w:rsid w:val="7584193F"/>
    <w:rsid w:val="758C6155"/>
    <w:rsid w:val="758F3087"/>
    <w:rsid w:val="75955730"/>
    <w:rsid w:val="759F1276"/>
    <w:rsid w:val="75A41D84"/>
    <w:rsid w:val="75BE02EE"/>
    <w:rsid w:val="75C622C6"/>
    <w:rsid w:val="75CE1F56"/>
    <w:rsid w:val="75D300E4"/>
    <w:rsid w:val="75E8027D"/>
    <w:rsid w:val="75EF5689"/>
    <w:rsid w:val="760B6583"/>
    <w:rsid w:val="760F78E5"/>
    <w:rsid w:val="76224BDE"/>
    <w:rsid w:val="76271B67"/>
    <w:rsid w:val="762F50EB"/>
    <w:rsid w:val="76435CFF"/>
    <w:rsid w:val="76460A52"/>
    <w:rsid w:val="765331AF"/>
    <w:rsid w:val="7666672B"/>
    <w:rsid w:val="76670AB4"/>
    <w:rsid w:val="766B0856"/>
    <w:rsid w:val="767D6BE7"/>
    <w:rsid w:val="76962C7F"/>
    <w:rsid w:val="76A756E2"/>
    <w:rsid w:val="76AA3B37"/>
    <w:rsid w:val="76B1267A"/>
    <w:rsid w:val="76BD26F7"/>
    <w:rsid w:val="76C668E6"/>
    <w:rsid w:val="76C810CC"/>
    <w:rsid w:val="76EC08E6"/>
    <w:rsid w:val="76EF435A"/>
    <w:rsid w:val="76F1414E"/>
    <w:rsid w:val="76FF32C8"/>
    <w:rsid w:val="770420D4"/>
    <w:rsid w:val="77053388"/>
    <w:rsid w:val="770A19EE"/>
    <w:rsid w:val="772048CF"/>
    <w:rsid w:val="77222583"/>
    <w:rsid w:val="77536E24"/>
    <w:rsid w:val="775D69F5"/>
    <w:rsid w:val="776C5E7A"/>
    <w:rsid w:val="777263A9"/>
    <w:rsid w:val="77754937"/>
    <w:rsid w:val="77834415"/>
    <w:rsid w:val="778A0604"/>
    <w:rsid w:val="778A3BC4"/>
    <w:rsid w:val="778A4560"/>
    <w:rsid w:val="778D1C32"/>
    <w:rsid w:val="77966CA0"/>
    <w:rsid w:val="77A42FE1"/>
    <w:rsid w:val="77A60766"/>
    <w:rsid w:val="77AB11E2"/>
    <w:rsid w:val="77B10B6D"/>
    <w:rsid w:val="77D36B23"/>
    <w:rsid w:val="77D82D70"/>
    <w:rsid w:val="77ED700C"/>
    <w:rsid w:val="77F1713F"/>
    <w:rsid w:val="77F61616"/>
    <w:rsid w:val="780038EF"/>
    <w:rsid w:val="78034690"/>
    <w:rsid w:val="78071668"/>
    <w:rsid w:val="780D6D5A"/>
    <w:rsid w:val="780E124A"/>
    <w:rsid w:val="781A2892"/>
    <w:rsid w:val="782A50E6"/>
    <w:rsid w:val="78360192"/>
    <w:rsid w:val="7844728C"/>
    <w:rsid w:val="78454524"/>
    <w:rsid w:val="78505F06"/>
    <w:rsid w:val="785C70CE"/>
    <w:rsid w:val="78632B8F"/>
    <w:rsid w:val="78774B27"/>
    <w:rsid w:val="787E4304"/>
    <w:rsid w:val="788829E3"/>
    <w:rsid w:val="789278BA"/>
    <w:rsid w:val="78CA4437"/>
    <w:rsid w:val="78D04546"/>
    <w:rsid w:val="78D366C6"/>
    <w:rsid w:val="78DD6DBB"/>
    <w:rsid w:val="78E17416"/>
    <w:rsid w:val="78E71308"/>
    <w:rsid w:val="78F41EA5"/>
    <w:rsid w:val="79123468"/>
    <w:rsid w:val="79161671"/>
    <w:rsid w:val="79202955"/>
    <w:rsid w:val="79404701"/>
    <w:rsid w:val="79507F52"/>
    <w:rsid w:val="79664D3B"/>
    <w:rsid w:val="79740BF7"/>
    <w:rsid w:val="797A1651"/>
    <w:rsid w:val="79A106B0"/>
    <w:rsid w:val="79A4194C"/>
    <w:rsid w:val="79A522A2"/>
    <w:rsid w:val="79B21CFF"/>
    <w:rsid w:val="79C10289"/>
    <w:rsid w:val="79C17EB8"/>
    <w:rsid w:val="79C93FF7"/>
    <w:rsid w:val="79CB16BE"/>
    <w:rsid w:val="79CC7B46"/>
    <w:rsid w:val="79CE2F7C"/>
    <w:rsid w:val="79E90A76"/>
    <w:rsid w:val="79ED78F1"/>
    <w:rsid w:val="79F3642F"/>
    <w:rsid w:val="79F8376D"/>
    <w:rsid w:val="7A124DB3"/>
    <w:rsid w:val="7A2116FB"/>
    <w:rsid w:val="7A5C3FCF"/>
    <w:rsid w:val="7A70182E"/>
    <w:rsid w:val="7A755FD3"/>
    <w:rsid w:val="7A872002"/>
    <w:rsid w:val="7A8A4CD5"/>
    <w:rsid w:val="7A951BAA"/>
    <w:rsid w:val="7A9C6C02"/>
    <w:rsid w:val="7AAE260C"/>
    <w:rsid w:val="7AB733E4"/>
    <w:rsid w:val="7ABB3FE8"/>
    <w:rsid w:val="7AD068DF"/>
    <w:rsid w:val="7AD95D08"/>
    <w:rsid w:val="7ADD3EC3"/>
    <w:rsid w:val="7ADE7767"/>
    <w:rsid w:val="7AE83ABA"/>
    <w:rsid w:val="7AE964B1"/>
    <w:rsid w:val="7AF57391"/>
    <w:rsid w:val="7AFB2BD3"/>
    <w:rsid w:val="7B0563C4"/>
    <w:rsid w:val="7B136D89"/>
    <w:rsid w:val="7B1843EC"/>
    <w:rsid w:val="7B18442B"/>
    <w:rsid w:val="7B357497"/>
    <w:rsid w:val="7B3771B5"/>
    <w:rsid w:val="7B661870"/>
    <w:rsid w:val="7B8D7B8A"/>
    <w:rsid w:val="7B906461"/>
    <w:rsid w:val="7B9B3656"/>
    <w:rsid w:val="7BA05385"/>
    <w:rsid w:val="7BA22FE1"/>
    <w:rsid w:val="7BB64CC7"/>
    <w:rsid w:val="7BB95B4A"/>
    <w:rsid w:val="7BBC740E"/>
    <w:rsid w:val="7BC9440A"/>
    <w:rsid w:val="7BCB31C0"/>
    <w:rsid w:val="7BCC50F8"/>
    <w:rsid w:val="7BF43AF5"/>
    <w:rsid w:val="7BF53A86"/>
    <w:rsid w:val="7C1E236B"/>
    <w:rsid w:val="7C2428D0"/>
    <w:rsid w:val="7C3A7CDC"/>
    <w:rsid w:val="7C3C66B3"/>
    <w:rsid w:val="7C42096C"/>
    <w:rsid w:val="7C4A5D78"/>
    <w:rsid w:val="7C4A7F77"/>
    <w:rsid w:val="7C8E2FEA"/>
    <w:rsid w:val="7CC66763"/>
    <w:rsid w:val="7CD01366"/>
    <w:rsid w:val="7CD8026B"/>
    <w:rsid w:val="7CEE6827"/>
    <w:rsid w:val="7D046BE1"/>
    <w:rsid w:val="7D0B25B3"/>
    <w:rsid w:val="7D0E3469"/>
    <w:rsid w:val="7D133243"/>
    <w:rsid w:val="7D1A1370"/>
    <w:rsid w:val="7D1D3B52"/>
    <w:rsid w:val="7D331A53"/>
    <w:rsid w:val="7D3B00B0"/>
    <w:rsid w:val="7D3B6123"/>
    <w:rsid w:val="7D4E40A8"/>
    <w:rsid w:val="7D517B29"/>
    <w:rsid w:val="7D545437"/>
    <w:rsid w:val="7D590133"/>
    <w:rsid w:val="7D622F39"/>
    <w:rsid w:val="7D6A0E72"/>
    <w:rsid w:val="7D761851"/>
    <w:rsid w:val="7D89203A"/>
    <w:rsid w:val="7D896C4F"/>
    <w:rsid w:val="7D9A7CA7"/>
    <w:rsid w:val="7DA71F74"/>
    <w:rsid w:val="7DAD7B1C"/>
    <w:rsid w:val="7DB3215D"/>
    <w:rsid w:val="7DB47F53"/>
    <w:rsid w:val="7DB77DA7"/>
    <w:rsid w:val="7DCF3E34"/>
    <w:rsid w:val="7DD05DFE"/>
    <w:rsid w:val="7DD728BF"/>
    <w:rsid w:val="7DF4354C"/>
    <w:rsid w:val="7DF66AC2"/>
    <w:rsid w:val="7E053015"/>
    <w:rsid w:val="7E0D5D12"/>
    <w:rsid w:val="7E15779B"/>
    <w:rsid w:val="7E192908"/>
    <w:rsid w:val="7E271DD0"/>
    <w:rsid w:val="7E2D7518"/>
    <w:rsid w:val="7E2F4A90"/>
    <w:rsid w:val="7E4376ED"/>
    <w:rsid w:val="7E556EA0"/>
    <w:rsid w:val="7E611B7C"/>
    <w:rsid w:val="7E6D4A02"/>
    <w:rsid w:val="7E8664B8"/>
    <w:rsid w:val="7E8A3179"/>
    <w:rsid w:val="7E8E1C76"/>
    <w:rsid w:val="7EBC14E6"/>
    <w:rsid w:val="7EBD73E4"/>
    <w:rsid w:val="7EBE253F"/>
    <w:rsid w:val="7ED505BF"/>
    <w:rsid w:val="7EE64A42"/>
    <w:rsid w:val="7EE92E77"/>
    <w:rsid w:val="7EF92C04"/>
    <w:rsid w:val="7EFC2D63"/>
    <w:rsid w:val="7EFC5D86"/>
    <w:rsid w:val="7F183425"/>
    <w:rsid w:val="7F190AF5"/>
    <w:rsid w:val="7F2F7E41"/>
    <w:rsid w:val="7F4469DB"/>
    <w:rsid w:val="7F6B0C9A"/>
    <w:rsid w:val="7F7E543B"/>
    <w:rsid w:val="7F872F39"/>
    <w:rsid w:val="7F9368B3"/>
    <w:rsid w:val="7FA154A9"/>
    <w:rsid w:val="7FA5349F"/>
    <w:rsid w:val="7FA92C6D"/>
    <w:rsid w:val="7FB30ACD"/>
    <w:rsid w:val="7FC03E0A"/>
    <w:rsid w:val="7FC83495"/>
    <w:rsid w:val="7FD51564"/>
    <w:rsid w:val="7FD562CA"/>
    <w:rsid w:val="7FE707E4"/>
    <w:rsid w:val="7FEC125A"/>
    <w:rsid w:val="7FF22942"/>
    <w:rsid w:val="7FF919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480" w:after="330"/>
      <w:jc w:val="center"/>
      <w:outlineLvl w:val="0"/>
    </w:pPr>
    <w:rPr>
      <w:rFonts w:eastAsia="黑体"/>
      <w:b/>
      <w:bCs/>
      <w:kern w:val="44"/>
      <w:sz w:val="32"/>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4">
    <w:name w:val="Default Paragraph Font"/>
    <w:autoRedefine/>
    <w:semiHidden/>
    <w:qFormat/>
    <w:uiPriority w:val="0"/>
  </w:style>
  <w:style w:type="table" w:default="1" w:styleId="3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Normal Indent"/>
    <w:basedOn w:val="1"/>
    <w:link w:val="39"/>
    <w:autoRedefine/>
    <w:qFormat/>
    <w:uiPriority w:val="0"/>
    <w:pPr>
      <w:ind w:firstLine="420"/>
    </w:pPr>
    <w:rPr>
      <w:szCs w:val="20"/>
    </w:rPr>
  </w:style>
  <w:style w:type="paragraph" w:styleId="6">
    <w:name w:val="caption"/>
    <w:basedOn w:val="1"/>
    <w:next w:val="1"/>
    <w:autoRedefine/>
    <w:qFormat/>
    <w:uiPriority w:val="0"/>
    <w:rPr>
      <w:rFonts w:ascii="Cambria" w:hAnsi="Cambria" w:eastAsia="黑体" w:cs="Times New Roman"/>
      <w:sz w:val="20"/>
      <w:szCs w:val="20"/>
    </w:rPr>
  </w:style>
  <w:style w:type="paragraph" w:styleId="7">
    <w:name w:val="Document Map"/>
    <w:basedOn w:val="1"/>
    <w:autoRedefine/>
    <w:semiHidden/>
    <w:qFormat/>
    <w:uiPriority w:val="0"/>
    <w:pPr>
      <w:shd w:val="clear" w:color="auto" w:fill="000080"/>
    </w:pPr>
  </w:style>
  <w:style w:type="paragraph" w:styleId="8">
    <w:name w:val="toa heading"/>
    <w:basedOn w:val="1"/>
    <w:next w:val="1"/>
    <w:autoRedefine/>
    <w:qFormat/>
    <w:uiPriority w:val="99"/>
    <w:rPr>
      <w:rFonts w:ascii="Arial" w:hAnsi="Arial"/>
      <w:sz w:val="24"/>
      <w:szCs w:val="20"/>
    </w:rPr>
  </w:style>
  <w:style w:type="paragraph" w:styleId="9">
    <w:name w:val="annotation text"/>
    <w:basedOn w:val="1"/>
    <w:link w:val="40"/>
    <w:autoRedefine/>
    <w:qFormat/>
    <w:uiPriority w:val="0"/>
    <w:pPr>
      <w:jc w:val="left"/>
    </w:pPr>
  </w:style>
  <w:style w:type="paragraph" w:styleId="10">
    <w:name w:val="Body Text 3"/>
    <w:basedOn w:val="1"/>
    <w:autoRedefine/>
    <w:qFormat/>
    <w:uiPriority w:val="0"/>
    <w:pPr>
      <w:spacing w:after="120"/>
    </w:pPr>
    <w:rPr>
      <w:sz w:val="16"/>
      <w:szCs w:val="16"/>
    </w:rPr>
  </w:style>
  <w:style w:type="paragraph" w:styleId="11">
    <w:name w:val="Body Text"/>
    <w:basedOn w:val="1"/>
    <w:autoRedefine/>
    <w:qFormat/>
    <w:uiPriority w:val="0"/>
    <w:pPr>
      <w:numPr>
        <w:ilvl w:val="0"/>
        <w:numId w:val="2"/>
      </w:numPr>
      <w:tabs>
        <w:tab w:val="clear" w:pos="839"/>
      </w:tabs>
      <w:spacing w:after="120"/>
      <w:ind w:left="0" w:firstLine="0"/>
    </w:pPr>
  </w:style>
  <w:style w:type="paragraph" w:styleId="12">
    <w:name w:val="Body Text Indent"/>
    <w:basedOn w:val="1"/>
    <w:next w:val="13"/>
    <w:autoRedefine/>
    <w:qFormat/>
    <w:uiPriority w:val="0"/>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Plain Text"/>
    <w:basedOn w:val="1"/>
    <w:next w:val="1"/>
    <w:link w:val="41"/>
    <w:autoRedefine/>
    <w:qFormat/>
    <w:uiPriority w:val="0"/>
    <w:rPr>
      <w:rFonts w:ascii="宋体" w:hAnsi="Courier New" w:cs="Courier New"/>
      <w:szCs w:val="21"/>
    </w:rPr>
  </w:style>
  <w:style w:type="paragraph" w:styleId="15">
    <w:name w:val="Date"/>
    <w:basedOn w:val="1"/>
    <w:next w:val="1"/>
    <w:autoRedefine/>
    <w:qFormat/>
    <w:uiPriority w:val="0"/>
    <w:rPr>
      <w:szCs w:val="20"/>
    </w:rPr>
  </w:style>
  <w:style w:type="paragraph" w:styleId="16">
    <w:name w:val="Body Text Indent 2"/>
    <w:basedOn w:val="1"/>
    <w:autoRedefine/>
    <w:unhideWhenUsed/>
    <w:qFormat/>
    <w:uiPriority w:val="0"/>
    <w:pPr>
      <w:spacing w:after="120" w:line="480" w:lineRule="auto"/>
      <w:ind w:left="420" w:leftChars="200"/>
    </w:pPr>
  </w:style>
  <w:style w:type="paragraph" w:styleId="17">
    <w:name w:val="endnote text"/>
    <w:basedOn w:val="1"/>
    <w:autoRedefine/>
    <w:qFormat/>
    <w:uiPriority w:val="99"/>
    <w:pPr>
      <w:snapToGrid w:val="0"/>
      <w:jc w:val="left"/>
    </w:pPr>
    <w:rPr>
      <w:rFonts w:ascii="Times New Roman" w:hAnsi="Times New Roman" w:eastAsia="宋体" w:cs="Times New Roman"/>
      <w:sz w:val="18"/>
      <w:szCs w:val="18"/>
    </w:rPr>
  </w:style>
  <w:style w:type="paragraph" w:styleId="18">
    <w:name w:val="Balloon Text"/>
    <w:basedOn w:val="1"/>
    <w:link w:val="42"/>
    <w:autoRedefine/>
    <w:qFormat/>
    <w:uiPriority w:val="0"/>
    <w:rPr>
      <w:sz w:val="18"/>
      <w:szCs w:val="18"/>
    </w:rPr>
  </w:style>
  <w:style w:type="paragraph" w:styleId="19">
    <w:name w:val="footer"/>
    <w:basedOn w:val="1"/>
    <w:link w:val="43"/>
    <w:autoRedefine/>
    <w:qFormat/>
    <w:uiPriority w:val="0"/>
    <w:pPr>
      <w:tabs>
        <w:tab w:val="center" w:pos="4153"/>
        <w:tab w:val="right" w:pos="8306"/>
      </w:tabs>
      <w:snapToGrid w:val="0"/>
      <w:jc w:val="left"/>
    </w:pPr>
    <w:rPr>
      <w:sz w:val="18"/>
      <w:szCs w:val="18"/>
    </w:rPr>
  </w:style>
  <w:style w:type="paragraph" w:styleId="20">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semiHidden/>
    <w:qFormat/>
    <w:uiPriority w:val="0"/>
  </w:style>
  <w:style w:type="paragraph" w:styleId="22">
    <w:name w:val="index heading"/>
    <w:basedOn w:val="1"/>
    <w:next w:val="23"/>
    <w:autoRedefine/>
    <w:qFormat/>
    <w:uiPriority w:val="0"/>
    <w:rPr>
      <w:szCs w:val="20"/>
    </w:rPr>
  </w:style>
  <w:style w:type="paragraph" w:styleId="23">
    <w:name w:val="index 1"/>
    <w:basedOn w:val="1"/>
    <w:next w:val="1"/>
    <w:autoRedefine/>
    <w:qFormat/>
    <w:uiPriority w:val="0"/>
  </w:style>
  <w:style w:type="paragraph" w:styleId="24">
    <w:name w:val="toc 2"/>
    <w:basedOn w:val="1"/>
    <w:next w:val="1"/>
    <w:autoRedefine/>
    <w:unhideWhenUsed/>
    <w:qFormat/>
    <w:uiPriority w:val="39"/>
    <w:pPr>
      <w:ind w:left="420" w:leftChars="200"/>
    </w:pPr>
    <w:rPr>
      <w:rFonts w:ascii="Calibri" w:hAnsi="Calibri" w:eastAsia="仿宋" w:cs="Times New Roman"/>
      <w:sz w:val="24"/>
      <w:szCs w:val="22"/>
    </w:rPr>
  </w:style>
  <w:style w:type="paragraph" w:styleId="25">
    <w:name w:val="Normal (Web)"/>
    <w:basedOn w:val="1"/>
    <w:autoRedefine/>
    <w:qFormat/>
    <w:uiPriority w:val="0"/>
    <w:pPr>
      <w:widowControl/>
      <w:spacing w:before="100" w:beforeAutospacing="1" w:after="100" w:afterAutospacing="1"/>
      <w:jc w:val="left"/>
    </w:pPr>
    <w:rPr>
      <w:kern w:val="0"/>
      <w:sz w:val="24"/>
    </w:rPr>
  </w:style>
  <w:style w:type="paragraph" w:styleId="26">
    <w:name w:val="Title"/>
    <w:basedOn w:val="1"/>
    <w:next w:val="1"/>
    <w:autoRedefine/>
    <w:qFormat/>
    <w:uiPriority w:val="0"/>
    <w:pPr>
      <w:spacing w:before="240" w:after="60"/>
      <w:jc w:val="center"/>
      <w:textAlignment w:val="baseline"/>
    </w:pPr>
    <w:rPr>
      <w:rFonts w:ascii="Cambria" w:hAnsi="Cambria" w:cs="Times New Roman"/>
      <w:bCs/>
    </w:rPr>
  </w:style>
  <w:style w:type="paragraph" w:styleId="27">
    <w:name w:val="annotation subject"/>
    <w:basedOn w:val="9"/>
    <w:next w:val="9"/>
    <w:link w:val="45"/>
    <w:autoRedefine/>
    <w:qFormat/>
    <w:uiPriority w:val="0"/>
    <w:rPr>
      <w:b/>
      <w:bCs/>
    </w:rPr>
  </w:style>
  <w:style w:type="paragraph" w:styleId="28">
    <w:name w:val="Body Text First Indent"/>
    <w:basedOn w:val="11"/>
    <w:next w:val="1"/>
    <w:autoRedefine/>
    <w:qFormat/>
    <w:uiPriority w:val="0"/>
    <w:pPr>
      <w:widowControl w:val="0"/>
      <w:tabs>
        <w:tab w:val="left" w:pos="839"/>
      </w:tabs>
      <w:spacing w:before="0" w:beforeLines="0" w:beforeAutospacing="0" w:after="120" w:afterLines="0" w:afterAutospacing="0"/>
      <w:ind w:firstLine="420" w:firstLineChars="100"/>
      <w:jc w:val="both"/>
    </w:pPr>
    <w:rPr>
      <w:rFonts w:ascii="Tahoma" w:hAnsi="Tahoma" w:eastAsia="宋体" w:cs="Times New Roman"/>
      <w:kern w:val="2"/>
    </w:rPr>
  </w:style>
  <w:style w:type="paragraph" w:styleId="29">
    <w:name w:val="Body Text First Indent 2"/>
    <w:basedOn w:val="12"/>
    <w:next w:val="30"/>
    <w:autoRedefine/>
    <w:qFormat/>
    <w:uiPriority w:val="0"/>
    <w:pPr>
      <w:autoSpaceDE/>
      <w:autoSpaceDN/>
      <w:adjustRightInd/>
      <w:spacing w:after="120" w:line="240" w:lineRule="auto"/>
      <w:ind w:left="200" w:leftChars="200" w:firstLine="200" w:firstLineChars="200"/>
      <w:textAlignment w:val="auto"/>
    </w:pPr>
    <w:rPr>
      <w:rFonts w:ascii="Calibri" w:hAnsi="Calibri" w:eastAsia="宋体"/>
      <w:kern w:val="2"/>
      <w:sz w:val="21"/>
      <w:szCs w:val="22"/>
    </w:rPr>
  </w:style>
  <w:style w:type="paragraph" w:customStyle="1" w:styleId="30">
    <w:name w:val="样式 正文首行缩进 2 + Arial"/>
    <w:basedOn w:val="1"/>
    <w:next w:val="1"/>
    <w:autoRedefine/>
    <w:qFormat/>
    <w:uiPriority w:val="0"/>
    <w:pPr>
      <w:spacing w:before="100" w:beforeAutospacing="1" w:after="120" w:line="320" w:lineRule="atLeast"/>
      <w:ind w:firstLine="200" w:firstLineChars="200"/>
    </w:pPr>
    <w:rPr>
      <w:rFonts w:ascii="Arial" w:hAnsi="Arial" w:cs="Arial"/>
    </w:rPr>
  </w:style>
  <w:style w:type="table" w:styleId="32">
    <w:name w:val="Table Grid"/>
    <w:basedOn w:val="3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Grid 5"/>
    <w:basedOn w:val="31"/>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5">
    <w:name w:val="Strong"/>
    <w:autoRedefine/>
    <w:qFormat/>
    <w:uiPriority w:val="0"/>
    <w:rPr>
      <w:b/>
      <w:bCs/>
    </w:rPr>
  </w:style>
  <w:style w:type="character" w:styleId="36">
    <w:name w:val="annotation reference"/>
    <w:autoRedefine/>
    <w:qFormat/>
    <w:uiPriority w:val="0"/>
    <w:rPr>
      <w:sz w:val="21"/>
      <w:szCs w:val="21"/>
    </w:rPr>
  </w:style>
  <w:style w:type="character" w:customStyle="1" w:styleId="37">
    <w:name w:val="标题 2 字符"/>
    <w:link w:val="3"/>
    <w:autoRedefine/>
    <w:qFormat/>
    <w:uiPriority w:val="0"/>
    <w:rPr>
      <w:rFonts w:ascii="Arial" w:hAnsi="Arial" w:eastAsia="黑体"/>
      <w:b/>
      <w:bCs/>
      <w:kern w:val="2"/>
      <w:sz w:val="32"/>
      <w:szCs w:val="32"/>
    </w:rPr>
  </w:style>
  <w:style w:type="character" w:customStyle="1" w:styleId="38">
    <w:name w:val="标题 4 字符"/>
    <w:link w:val="4"/>
    <w:autoRedefine/>
    <w:qFormat/>
    <w:uiPriority w:val="0"/>
    <w:rPr>
      <w:rFonts w:ascii="Arial" w:hAnsi="Arial" w:eastAsia="黑体"/>
      <w:b/>
      <w:bCs/>
      <w:kern w:val="2"/>
      <w:sz w:val="28"/>
      <w:szCs w:val="28"/>
    </w:rPr>
  </w:style>
  <w:style w:type="character" w:customStyle="1" w:styleId="39">
    <w:name w:val="正文缩进 字符"/>
    <w:link w:val="5"/>
    <w:autoRedefine/>
    <w:qFormat/>
    <w:uiPriority w:val="0"/>
    <w:rPr>
      <w:rFonts w:eastAsia="宋体"/>
      <w:kern w:val="2"/>
      <w:sz w:val="21"/>
      <w:lang w:val="en-US" w:eastAsia="zh-CN" w:bidi="ar-SA"/>
    </w:rPr>
  </w:style>
  <w:style w:type="character" w:customStyle="1" w:styleId="40">
    <w:name w:val="批注文字 字符"/>
    <w:link w:val="9"/>
    <w:autoRedefine/>
    <w:qFormat/>
    <w:uiPriority w:val="0"/>
    <w:rPr>
      <w:kern w:val="2"/>
      <w:sz w:val="21"/>
      <w:szCs w:val="24"/>
    </w:rPr>
  </w:style>
  <w:style w:type="character" w:customStyle="1" w:styleId="41">
    <w:name w:val="纯文本 字符"/>
    <w:link w:val="14"/>
    <w:autoRedefine/>
    <w:qFormat/>
    <w:uiPriority w:val="0"/>
    <w:rPr>
      <w:rFonts w:ascii="宋体" w:hAnsi="Courier New" w:eastAsia="宋体" w:cs="Courier New"/>
      <w:kern w:val="2"/>
      <w:sz w:val="21"/>
      <w:szCs w:val="21"/>
      <w:lang w:val="en-US" w:eastAsia="zh-CN" w:bidi="ar-SA"/>
    </w:rPr>
  </w:style>
  <w:style w:type="character" w:customStyle="1" w:styleId="42">
    <w:name w:val="批注框文本 字符"/>
    <w:link w:val="18"/>
    <w:autoRedefine/>
    <w:qFormat/>
    <w:uiPriority w:val="0"/>
    <w:rPr>
      <w:kern w:val="2"/>
      <w:sz w:val="18"/>
      <w:szCs w:val="18"/>
    </w:rPr>
  </w:style>
  <w:style w:type="character" w:customStyle="1" w:styleId="43">
    <w:name w:val="页脚 字符"/>
    <w:link w:val="19"/>
    <w:autoRedefine/>
    <w:qFormat/>
    <w:uiPriority w:val="0"/>
    <w:rPr>
      <w:kern w:val="2"/>
      <w:sz w:val="18"/>
      <w:szCs w:val="18"/>
    </w:rPr>
  </w:style>
  <w:style w:type="character" w:customStyle="1" w:styleId="44">
    <w:name w:val="页眉 字符"/>
    <w:link w:val="20"/>
    <w:autoRedefine/>
    <w:qFormat/>
    <w:uiPriority w:val="0"/>
    <w:rPr>
      <w:kern w:val="2"/>
      <w:sz w:val="18"/>
      <w:szCs w:val="18"/>
    </w:rPr>
  </w:style>
  <w:style w:type="character" w:customStyle="1" w:styleId="45">
    <w:name w:val="批注主题 字符"/>
    <w:link w:val="27"/>
    <w:autoRedefine/>
    <w:qFormat/>
    <w:uiPriority w:val="0"/>
    <w:rPr>
      <w:b/>
      <w:bCs/>
      <w:kern w:val="2"/>
      <w:sz w:val="21"/>
      <w:szCs w:val="24"/>
    </w:rPr>
  </w:style>
  <w:style w:type="paragraph" w:customStyle="1" w:styleId="46">
    <w:name w:val="正文 首行缩进"/>
    <w:basedOn w:val="1"/>
    <w:autoRedefine/>
    <w:qFormat/>
    <w:uiPriority w:val="0"/>
    <w:pPr>
      <w:adjustRightInd w:val="0"/>
      <w:spacing w:line="360" w:lineRule="auto"/>
      <w:ind w:firstLine="437"/>
      <w:jc w:val="left"/>
    </w:pPr>
    <w:rPr>
      <w:rFonts w:hint="eastAsia" w:ascii="宋体" w:hAnsi="宋体"/>
      <w:kern w:val="0"/>
      <w:sz w:val="24"/>
      <w:szCs w:val="21"/>
    </w:rPr>
  </w:style>
  <w:style w:type="character" w:customStyle="1" w:styleId="47">
    <w:name w:val="font31"/>
    <w:autoRedefine/>
    <w:qFormat/>
    <w:uiPriority w:val="99"/>
    <w:rPr>
      <w:rFonts w:ascii="宋体" w:hAnsi="宋体" w:eastAsia="宋体" w:cs="宋体"/>
      <w:b/>
      <w:color w:val="000000"/>
      <w:sz w:val="24"/>
      <w:szCs w:val="24"/>
      <w:u w:val="none"/>
    </w:rPr>
  </w:style>
  <w:style w:type="character" w:customStyle="1" w:styleId="48">
    <w:name w:val="font01"/>
    <w:autoRedefine/>
    <w:qFormat/>
    <w:uiPriority w:val="0"/>
    <w:rPr>
      <w:rFonts w:hint="eastAsia" w:ascii="宋体" w:hAnsi="宋体" w:eastAsia="宋体" w:cs="宋体"/>
      <w:color w:val="000000"/>
      <w:sz w:val="22"/>
      <w:szCs w:val="22"/>
      <w:u w:val="none"/>
    </w:rPr>
  </w:style>
  <w:style w:type="character" w:customStyle="1" w:styleId="49">
    <w:name w:val="font71"/>
    <w:autoRedefine/>
    <w:qFormat/>
    <w:uiPriority w:val="0"/>
    <w:rPr>
      <w:rFonts w:hint="default" w:ascii="Times New Roman" w:hAnsi="Times New Roman" w:cs="Times New Roman"/>
      <w:color w:val="000000"/>
      <w:sz w:val="21"/>
      <w:szCs w:val="21"/>
      <w:u w:val="none"/>
    </w:rPr>
  </w:style>
  <w:style w:type="character" w:customStyle="1" w:styleId="50">
    <w:name w:val="font41"/>
    <w:autoRedefine/>
    <w:qFormat/>
    <w:uiPriority w:val="0"/>
    <w:rPr>
      <w:rFonts w:hint="eastAsia" w:ascii="宋体" w:hAnsi="宋体" w:eastAsia="宋体" w:cs="宋体"/>
      <w:b/>
      <w:bCs/>
      <w:color w:val="000000"/>
      <w:sz w:val="21"/>
      <w:szCs w:val="21"/>
      <w:u w:val="none"/>
    </w:rPr>
  </w:style>
  <w:style w:type="character" w:customStyle="1" w:styleId="51">
    <w:name w:val="font11"/>
    <w:autoRedefine/>
    <w:qFormat/>
    <w:uiPriority w:val="99"/>
    <w:rPr>
      <w:rFonts w:ascii="Wingdings" w:hAnsi="Wingdings" w:cs="Wingdings"/>
      <w:b/>
      <w:color w:val="000000"/>
      <w:sz w:val="24"/>
      <w:szCs w:val="24"/>
      <w:u w:val="none"/>
    </w:rPr>
  </w:style>
  <w:style w:type="character" w:customStyle="1" w:styleId="52">
    <w:name w:val="NormalCharacter"/>
    <w:autoRedefine/>
    <w:semiHidden/>
    <w:qFormat/>
    <w:uiPriority w:val="0"/>
  </w:style>
  <w:style w:type="character" w:customStyle="1" w:styleId="53">
    <w:name w:val="font21"/>
    <w:autoRedefine/>
    <w:qFormat/>
    <w:uiPriority w:val="99"/>
    <w:rPr>
      <w:rFonts w:ascii="宋体" w:hAnsi="宋体" w:eastAsia="宋体" w:cs="宋体"/>
      <w:b/>
      <w:color w:val="000000"/>
      <w:sz w:val="24"/>
      <w:szCs w:val="24"/>
      <w:u w:val="none"/>
    </w:rPr>
  </w:style>
  <w:style w:type="character" w:customStyle="1" w:styleId="54">
    <w:name w:val="ca-12"/>
    <w:autoRedefine/>
    <w:qFormat/>
    <w:uiPriority w:val="0"/>
    <w:rPr>
      <w:rFonts w:eastAsia="宋体" w:cs="Times New Roman"/>
      <w:kern w:val="2"/>
      <w:sz w:val="24"/>
      <w:szCs w:val="24"/>
      <w:lang w:val="en-US" w:eastAsia="zh-CN" w:bidi="ar-SA"/>
    </w:rPr>
  </w:style>
  <w:style w:type="character" w:customStyle="1" w:styleId="55">
    <w:name w:val="普通文字1 Char"/>
    <w:autoRedefine/>
    <w:qFormat/>
    <w:uiPriority w:val="0"/>
    <w:rPr>
      <w:rFonts w:ascii="宋体" w:hAnsi="Courier New" w:eastAsia="宋体" w:cs="Courier New"/>
      <w:kern w:val="2"/>
      <w:sz w:val="21"/>
      <w:szCs w:val="21"/>
      <w:lang w:val="en-US" w:eastAsia="zh-CN" w:bidi="ar-SA"/>
    </w:rPr>
  </w:style>
  <w:style w:type="paragraph" w:customStyle="1" w:styleId="56">
    <w:name w:val="列出段落1"/>
    <w:basedOn w:val="1"/>
    <w:autoRedefine/>
    <w:qFormat/>
    <w:uiPriority w:val="99"/>
    <w:pPr>
      <w:ind w:firstLine="420" w:firstLineChars="200"/>
    </w:pPr>
  </w:style>
  <w:style w:type="paragraph" w:customStyle="1" w:styleId="57">
    <w:name w:val="_Style 5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58">
    <w:name w:val=" Char Char1 Char Char Char Char1 Char Char Char Char Char Char"/>
    <w:basedOn w:val="1"/>
    <w:autoRedefine/>
    <w:qFormat/>
    <w:uiPriority w:val="0"/>
    <w:rPr>
      <w:rFonts w:ascii="Tahoma" w:hAnsi="Tahoma"/>
      <w:sz w:val="24"/>
    </w:rPr>
  </w:style>
  <w:style w:type="paragraph" w:customStyle="1" w:styleId="59">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60">
    <w:name w:val="方案正文"/>
    <w:autoRedefine/>
    <w:qFormat/>
    <w:uiPriority w:val="0"/>
    <w:pPr>
      <w:spacing w:line="360" w:lineRule="auto"/>
      <w:ind w:firstLine="560" w:firstLineChars="200"/>
    </w:pPr>
    <w:rPr>
      <w:rFonts w:ascii="仿宋_GB2312" w:hAnsi="Times New Roman" w:eastAsia="仿宋_GB2312" w:cs="Times New Roman"/>
      <w:kern w:val="2"/>
      <w:sz w:val="28"/>
      <w:szCs w:val="28"/>
      <w:lang w:val="en-US" w:eastAsia="zh-CN" w:bidi="ar-SA"/>
    </w:rPr>
  </w:style>
  <w:style w:type="paragraph" w:customStyle="1" w:styleId="61">
    <w:name w:val="No Spacing1"/>
    <w:autoRedefine/>
    <w:qFormat/>
    <w:uiPriority w:val="0"/>
    <w:pPr>
      <w:adjustRightInd w:val="0"/>
      <w:snapToGrid w:val="0"/>
    </w:pPr>
    <w:rPr>
      <w:rFonts w:ascii="Tahoma" w:hAnsi="Tahoma" w:eastAsia="微软雅黑" w:cs="Tahoma"/>
      <w:sz w:val="22"/>
      <w:szCs w:val="22"/>
      <w:lang w:val="en-US" w:eastAsia="zh-CN" w:bidi="ar-SA"/>
    </w:rPr>
  </w:style>
  <w:style w:type="paragraph" w:customStyle="1" w:styleId="62">
    <w:name w:val="题注5"/>
    <w:basedOn w:val="1"/>
    <w:next w:val="6"/>
    <w:autoRedefine/>
    <w:qFormat/>
    <w:uiPriority w:val="0"/>
    <w:pPr>
      <w:jc w:val="center"/>
    </w:pPr>
    <w:rPr>
      <w:b/>
      <w:color w:val="000000"/>
      <w:sz w:val="24"/>
      <w:szCs w:val="21"/>
    </w:rPr>
  </w:style>
  <w:style w:type="paragraph" w:customStyle="1" w:styleId="63">
    <w:name w:val="_Style 1"/>
    <w:basedOn w:val="1"/>
    <w:autoRedefine/>
    <w:qFormat/>
    <w:uiPriority w:val="34"/>
    <w:pPr>
      <w:ind w:firstLine="420" w:firstLineChars="200"/>
    </w:pPr>
  </w:style>
  <w:style w:type="paragraph" w:customStyle="1" w:styleId="64">
    <w:name w:val="UserStyle_20"/>
    <w:basedOn w:val="1"/>
    <w:autoRedefine/>
    <w:qFormat/>
    <w:uiPriority w:val="0"/>
    <w:pPr>
      <w:ind w:firstLine="420" w:firstLineChars="200"/>
    </w:pPr>
  </w:style>
  <w:style w:type="paragraph" w:customStyle="1" w:styleId="65">
    <w:name w:val=" Char"/>
    <w:basedOn w:val="7"/>
    <w:autoRedefine/>
    <w:qFormat/>
    <w:uiPriority w:val="0"/>
    <w:rPr>
      <w:rFonts w:ascii="Tahoma" w:hAnsi="Tahoma"/>
      <w:sz w:val="24"/>
    </w:rPr>
  </w:style>
  <w:style w:type="paragraph" w:styleId="66">
    <w:name w:val="List Paragraph"/>
    <w:basedOn w:val="1"/>
    <w:autoRedefine/>
    <w:qFormat/>
    <w:uiPriority w:val="34"/>
    <w:pPr>
      <w:ind w:firstLine="420" w:firstLineChars="200"/>
    </w:pPr>
  </w:style>
  <w:style w:type="paragraph" w:customStyle="1" w:styleId="6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8">
    <w:name w:val="TOC2"/>
    <w:basedOn w:val="1"/>
    <w:next w:val="1"/>
    <w:autoRedefine/>
    <w:qFormat/>
    <w:uiPriority w:val="0"/>
    <w:pPr>
      <w:ind w:left="420" w:leftChars="200"/>
    </w:pPr>
    <w:rPr>
      <w:rFonts w:ascii="Calibri" w:hAnsi="Calibri" w:eastAsia="仿宋"/>
      <w:sz w:val="24"/>
    </w:rPr>
  </w:style>
  <w:style w:type="paragraph" w:customStyle="1" w:styleId="69">
    <w:name w:val="Zchn Zchn"/>
    <w:basedOn w:val="1"/>
    <w:autoRedefine/>
    <w:qFormat/>
    <w:uiPriority w:val="0"/>
    <w:rPr>
      <w:rFonts w:ascii="Tahoma" w:hAnsi="Tahoma"/>
      <w:sz w:val="24"/>
      <w:szCs w:val="20"/>
    </w:rPr>
  </w:style>
  <w:style w:type="paragraph" w:customStyle="1" w:styleId="70">
    <w:name w:val="List Paragraph1"/>
    <w:basedOn w:val="1"/>
    <w:autoRedefine/>
    <w:qFormat/>
    <w:uiPriority w:val="99"/>
    <w:pPr>
      <w:ind w:firstLine="420" w:firstLineChars="200"/>
    </w:pPr>
    <w:rPr>
      <w:kern w:val="0"/>
      <w:sz w:val="22"/>
      <w:szCs w:val="20"/>
    </w:rPr>
  </w:style>
  <w:style w:type="paragraph" w:customStyle="1" w:styleId="71">
    <w:name w:val="表格文字"/>
    <w:basedOn w:val="1"/>
    <w:autoRedefine/>
    <w:qFormat/>
    <w:uiPriority w:val="0"/>
    <w:pPr>
      <w:spacing w:before="25" w:after="25"/>
      <w:jc w:val="left"/>
    </w:pPr>
    <w:rPr>
      <w:bCs/>
      <w:spacing w:val="10"/>
      <w:kern w:val="0"/>
      <w:sz w:val="24"/>
      <w:szCs w:val="20"/>
    </w:rPr>
  </w:style>
  <w:style w:type="paragraph" w:customStyle="1" w:styleId="72">
    <w:name w:val="题注4"/>
    <w:basedOn w:val="1"/>
    <w:next w:val="6"/>
    <w:autoRedefine/>
    <w:qFormat/>
    <w:uiPriority w:val="0"/>
    <w:pPr>
      <w:ind w:left="-132" w:leftChars="-64" w:right="-105" w:rightChars="-50" w:hanging="2"/>
      <w:jc w:val="center"/>
    </w:pPr>
    <w:rPr>
      <w:b/>
      <w:color w:val="FF0000"/>
      <w:szCs w:val="21"/>
      <w:lang w:val="en-GB"/>
    </w:rPr>
  </w:style>
  <w:style w:type="paragraph" w:customStyle="1" w:styleId="73">
    <w:name w:val="Default"/>
    <w:autoRedefine/>
    <w:qFormat/>
    <w:uiPriority w:val="0"/>
    <w:pPr>
      <w:widowControl w:val="0"/>
      <w:numPr>
        <w:ilvl w:val="2"/>
        <w:numId w:val="2"/>
      </w:numPr>
      <w:tabs>
        <w:tab w:val="clear" w:pos="1259"/>
      </w:tabs>
      <w:autoSpaceDE w:val="0"/>
      <w:autoSpaceDN w:val="0"/>
      <w:adjustRightInd w:val="0"/>
      <w:ind w:left="0" w:firstLine="0"/>
    </w:pPr>
    <w:rPr>
      <w:rFonts w:ascii="..ì." w:hAnsi="Times New Roman" w:eastAsia="..ì." w:cs="..ì."/>
      <w:color w:val="000000"/>
      <w:sz w:val="24"/>
      <w:szCs w:val="24"/>
      <w:lang w:val="en-US" w:eastAsia="zh-CN" w:bidi="ar-SA"/>
    </w:rPr>
  </w:style>
  <w:style w:type="paragraph" w:customStyle="1" w:styleId="74">
    <w:name w:val="List Paragraph2"/>
    <w:basedOn w:val="1"/>
    <w:autoRedefine/>
    <w:qFormat/>
    <w:uiPriority w:val="0"/>
    <w:pPr>
      <w:numPr>
        <w:ilvl w:val="3"/>
        <w:numId w:val="2"/>
      </w:numPr>
      <w:tabs>
        <w:tab w:val="clear" w:pos="1469"/>
      </w:tabs>
      <w:ind w:left="0" w:firstLine="420" w:firstLineChars="200"/>
    </w:pPr>
    <w:rPr>
      <w:rFonts w:ascii="Calibri" w:hAnsi="Calibri"/>
      <w:szCs w:val="22"/>
    </w:rPr>
  </w:style>
  <w:style w:type="paragraph" w:customStyle="1" w:styleId="75">
    <w:name w:val="179"/>
    <w:basedOn w:val="1"/>
    <w:link w:val="76"/>
    <w:autoRedefine/>
    <w:qFormat/>
    <w:uiPriority w:val="0"/>
    <w:pPr>
      <w:ind w:firstLine="420" w:firstLineChars="200"/>
    </w:pPr>
  </w:style>
  <w:style w:type="character" w:customStyle="1" w:styleId="76">
    <w:name w:val="179 Char"/>
    <w:link w:val="75"/>
    <w:autoRedefine/>
    <w:qFormat/>
    <w:uiPriority w:val="0"/>
  </w:style>
  <w:style w:type="paragraph" w:customStyle="1" w:styleId="77">
    <w:name w:val="样式1"/>
    <w:basedOn w:val="78"/>
    <w:autoRedefine/>
    <w:qFormat/>
    <w:uiPriority w:val="0"/>
  </w:style>
  <w:style w:type="paragraph" w:customStyle="1" w:styleId="78">
    <w:name w:val="正文1"/>
    <w:basedOn w:val="1"/>
    <w:autoRedefine/>
    <w:qFormat/>
    <w:uiPriority w:val="99"/>
    <w:pPr>
      <w:ind w:firstLine="708" w:firstLineChars="236"/>
    </w:pPr>
    <w:rPr>
      <w:rFonts w:ascii="仿宋_GB2312" w:cs="仿宋_GB2312"/>
      <w:sz w:val="30"/>
      <w:szCs w:val="30"/>
    </w:rPr>
  </w:style>
  <w:style w:type="paragraph" w:customStyle="1" w:styleId="79">
    <w:name w:val="z正文"/>
    <w:basedOn w:val="1"/>
    <w:autoRedefine/>
    <w:qFormat/>
    <w:uiPriority w:val="0"/>
    <w:pPr>
      <w:ind w:firstLine="560" w:firstLineChars="200"/>
    </w:pPr>
    <w:rPr>
      <w:rFonts w:eastAsia="仿宋_GB2312" w:cs="宋体"/>
      <w:sz w:val="28"/>
    </w:rPr>
  </w:style>
  <w:style w:type="paragraph" w:customStyle="1" w:styleId="8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列出段落4"/>
    <w:basedOn w:val="1"/>
    <w:autoRedefine/>
    <w:qFormat/>
    <w:uiPriority w:val="34"/>
    <w:pPr>
      <w:widowControl/>
      <w:spacing w:line="360" w:lineRule="auto"/>
      <w:ind w:firstLine="420"/>
      <w:jc w:val="left"/>
    </w:pPr>
    <w:rPr>
      <w:rFonts w:ascii="宋体" w:hAnsi="宋体" w:cs="微软雅黑"/>
      <w:snapToGrid w:val="0"/>
      <w:kern w:val="0"/>
      <w:sz w:val="24"/>
      <w:szCs w:val="30"/>
    </w:rPr>
  </w:style>
  <w:style w:type="paragraph" w:customStyle="1" w:styleId="82">
    <w:name w:val="null3"/>
    <w:autoRedefine/>
    <w:hidden/>
    <w:qFormat/>
    <w:uiPriority w:val="0"/>
    <w:rPr>
      <w:rFonts w:hint="eastAsia" w:asciiTheme="minorHAnsi" w:hAnsiTheme="minorHAnsi" w:eastAsiaTheme="minorEastAsia" w:cstheme="minorBidi"/>
      <w:lang w:val="en-US" w:eastAsia="zh-Hans"/>
    </w:rPr>
  </w:style>
  <w:style w:type="paragraph" w:customStyle="1" w:styleId="83">
    <w:name w:val="Table Paragraph"/>
    <w:basedOn w:val="1"/>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68</Pages>
  <Words>29353</Words>
  <Characters>31856</Characters>
  <Lines>250</Lines>
  <Paragraphs>70</Paragraphs>
  <TotalTime>2</TotalTime>
  <ScaleCrop>false</ScaleCrop>
  <LinksUpToDate>false</LinksUpToDate>
  <CharactersWithSpaces>34140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2023-07-17T08:48:00Z</dcterms:created>
  <dc:creator>林建斌</dc:creator>
  <cp:lastModifiedBy>ZCP</cp:lastModifiedBy>
  <cp:lastPrinted>2023-11-02T09:38:00Z</cp:lastPrinted>
  <dcterms:modified xsi:type="dcterms:W3CDTF">2026-06-08T00:31:11Z</dcterms:modified>
  <dc:title>招标文件（院内招标）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9C9B41CFCD8E48B4865A204ECB272BD6_13</vt:lpwstr>
  </property>
  <property fmtid="{D5CDD505-2E9C-101B-9397-08002B2CF9AE}" pid="4" name="KSOTemplateDocerSaveRecord">
    <vt:lpwstr>eyJoZGlkIjoiY2FmNTkxNDJlYWVlMDZiYmZmNDNiZjc1ZWFjYTI3ZjIiLCJ1c2VySWQiOiIzMzM3MDA1NjQifQ==</vt:lpwstr>
  </property>
</Properties>
</file>